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RJ45 DC 6er Modul Cat.6A UC Future 24x2xAWG23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Erfüllt mindestens die Anforderungen der Klasse EA mit einem Leiterdurchmesser in AWG23 bei einer max. Übertragungslänge von 80m anstatt 90m im Permanent Link.
Einsatzgebiete
Primär (Campus), Sekundär (Riser), Tertiär (Horizontal)
IEEE 802.3: 10Base-T; 100Base-T; 1000Base-T; 10GBase-T
IEEE 802.5 16 MB; ISDN; TPDDI; ATM
Geltende Normen
IEC 61156-6 work area cable
ISO/IEC 11801 2nd ed.
EN 50173-5, EN 50288-4-2
IEEE 802.3af
Flammwidrigkeit
LSHF-FR (LSOH-FR): IEC 60332-1, IEC 60332-3-24; IEC 60754-2; IEC 61034; EN 50399 Class Dca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AWG23/1 Cat.7 S/FTP 24P</w:t>
            </w:r>
          </w:p>
        </w:tc>
      </w:tr>
      <w:tr>
        <w:trPr/>
        <w:tc>
          <w:tcPr>
            <w:tcW w:w="2500" w:type="dxa"/>
            <w:shd w:val="clear" w:fill="D9D9D9"/>
          </w:tcPr>
          <w:p>
            <w:pPr/>
            <w:r>
              <w:rPr/>
              <w:t xml:space="preserve">Leiter</w:t>
            </w:r>
          </w:p>
        </w:tc>
        <w:tc>
          <w:tcPr>
            <w:tcW w:w="7500" w:type="dxa"/>
          </w:tcPr>
          <w:p>
            <w:pPr/>
            <w:r>
              <w:rPr/>
              <w:t xml:space="preserve">CU-Festader, Ø 0.56 mm (AWG23/1)</w:t>
            </w:r>
          </w:p>
        </w:tc>
      </w:tr>
      <w:tr>
        <w:trPr/>
        <w:tc>
          <w:tcPr>
            <w:tcW w:w="2500" w:type="dxa"/>
            <w:shd w:val="clear" w:fill="D9D9D9"/>
          </w:tcPr>
          <w:p>
            <w:pPr/>
            <w:r>
              <w:rPr/>
              <w:t xml:space="preserve">Isolierung</w:t>
            </w:r>
          </w:p>
        </w:tc>
        <w:tc>
          <w:tcPr>
            <w:tcW w:w="7500" w:type="dxa"/>
          </w:tcPr>
          <w:p>
            <w:pPr/>
            <w:r>
              <w:rPr/>
              <w:t xml:space="preserve">Foam-Skin PP, Ø 1.4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 or, gn, br</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Gesamtabschirmung</w:t>
            </w:r>
          </w:p>
        </w:tc>
        <w:tc>
          <w:tcPr>
            <w:tcW w:w="7500" w:type="dxa"/>
          </w:tcPr>
          <w:p>
            <w:pPr/>
            <w:r>
              <w:rPr/>
              <w:t xml:space="preserve">Cu-Geflecht verzinnt, ≥ 65%</w:t>
            </w:r>
          </w:p>
        </w:tc>
      </w:tr>
      <w:tr>
        <w:trPr/>
        <w:tc>
          <w:tcPr>
            <w:tcW w:w="2500" w:type="dxa"/>
            <w:shd w:val="clear" w:fill="D9D9D9"/>
          </w:tcPr>
          <w:p>
            <w:pPr/>
            <w:r>
              <w:rPr/>
              <w:t xml:space="preserve">Schutzmantel</w:t>
            </w:r>
          </w:p>
        </w:tc>
        <w:tc>
          <w:tcPr>
            <w:tcW w:w="7500" w:type="dxa"/>
          </w:tcPr>
          <w:p>
            <w:pPr/>
            <w:r>
              <w:rPr/>
              <w:t xml:space="preserve">LSHF, orange RAL 2003</w:t>
            </w:r>
          </w:p>
        </w:tc>
      </w:tr>
      <w:tr>
        <w:trPr/>
        <w:tc>
          <w:tcPr>
            <w:tcW w:w="2500" w:type="dxa"/>
            <w:shd w:val="clear" w:fill="D9D9D9"/>
          </w:tcPr>
          <w:p>
            <w:pPr/>
            <w:r>
              <w:rPr/>
              <w:t xml:space="preserve">Gesamtmantel</w:t>
            </w:r>
          </w:p>
        </w:tc>
        <w:tc>
          <w:tcPr>
            <w:tcW w:w="7500" w:type="dxa"/>
          </w:tcPr>
          <w:p>
            <w:pPr/>
            <w:r>
              <w:rPr/>
              <w:t xml:space="preserve">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Biegeradien</w:t>
            </w:r>
          </w:p>
        </w:tc>
        <w:tc>
          <w:tcPr>
            <w:tcW w:w="7500" w:type="dxa"/>
          </w:tcPr>
          <w:p>
            <w:pPr/>
            <w:r>
              <w:rPr/>
              <w:t xml:space="preserve">ohne Zugbelastung</w:t>
            </w:r>
          </w:p>
        </w:tc>
        <w:tc>
          <w:tcPr>
            <w:tcW w:w="7500" w:type="dxa"/>
          </w:tcPr>
          <w:p>
            <w:pPr/>
            <w:r>
              <w:rPr/>
              <w:t xml:space="preserve">≥ 100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200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190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in MHZ</w:t>
            </w:r>
          </w:p>
        </w:tc>
        <w:tc>
          <w:tcPr>
            <w:shd w:val="clear" w:fill="D9D9D9"/>
          </w:tcPr>
          <w:p>
            <w:pPr/>
            <w:r>
              <w:rPr/>
              <w:t xml:space="preserve">Dämpfung dB/90m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400.0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500.0</w:t>
            </w:r>
          </w:p>
        </w:tc>
        <w:tc>
          <w:tcPr/>
          <w:p>
            <w:pPr/>
            <w:r>
              <w:rPr/>
              <w:t xml:space="preserve">43.0</w:t>
            </w:r>
          </w:p>
        </w:tc>
        <w:tc>
          <w:tcPr/>
          <w:p>
            <w:pPr/>
            <w:r>
              <w:rPr/>
              <w:t xml:space="preserve">86</w:t>
            </w:r>
          </w:p>
        </w:tc>
        <w:tc>
          <w:tcPr/>
          <w:p>
            <w:pPr/>
            <w:r>
              <w:rPr/>
              <w:t xml:space="preserve">83</w:t>
            </w:r>
          </w:p>
        </w:tc>
        <w:tc>
          <w:tcPr/>
          <w:p>
            <w:pPr/>
            <w:r>
              <w:rPr/>
              <w:t xml:space="preserve">43</w:t>
            </w:r>
          </w:p>
        </w:tc>
        <w:tc>
          <w:tcPr/>
          <w:p>
            <w:pPr/>
            <w:r>
              <w:rPr/>
              <w:t xml:space="preserve">40</w:t>
            </w:r>
          </w:p>
        </w:tc>
        <w:tc>
          <w:tcPr/>
          <w:p>
            <w:pPr/>
            <w:r>
              <w:rPr/>
              <w:t xml:space="preserve">61</w:t>
            </w:r>
          </w:p>
        </w:tc>
        <w:tc>
          <w:tcPr/>
          <w:p>
            <w:pPr/>
            <w:r>
              <w:rPr/>
              <w:t xml:space="preserve">58</w:t>
            </w:r>
          </w:p>
        </w:tc>
        <w:tc>
          <w:tcPr/>
          <w:p>
            <w:pPr/>
            <w:r>
              <w:rPr/>
              <w:t xml:space="preserve">22</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60</w:t>
            </w:r>
          </w:p>
        </w:tc>
        <w:tc>
          <w:tcPr/>
          <w:p>
            <w:pPr/>
            <w:r>
              <w:rPr/>
              <w:t xml:space="preserve">57</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18 mm</w:t>
            </w:r>
          </w:p>
        </w:tc>
      </w:tr>
      <w:tr>
        <w:trPr/>
        <w:tc>
          <w:tcPr>
            <w:tcW w:w="2500" w:type="dxa"/>
            <w:shd w:val="clear" w:fill="D9D9D9"/>
          </w:tcPr>
          <w:p>
            <w:pPr/>
            <w:r>
              <w:rPr/>
              <w:t xml:space="preserve">Brandlast</w:t>
            </w:r>
          </w:p>
        </w:tc>
        <w:tc>
          <w:tcPr>
            <w:tcW w:w="7500" w:type="dxa"/>
          </w:tcPr>
          <w:p>
            <w:pPr/>
            <w:r>
              <w:rPr/>
              <w:t xml:space="preserve">3120 MJ/km</w:t>
            </w:r>
          </w:p>
        </w:tc>
      </w:tr>
      <w:tr>
        <w:trPr/>
        <w:tc>
          <w:tcPr>
            <w:tcW w:w="2500" w:type="dxa"/>
            <w:shd w:val="clear" w:fill="D9D9D9"/>
          </w:tcPr>
          <w:p>
            <w:pPr/>
            <w:r>
              <w:rPr/>
              <w:t xml:space="preserve">Brandlast</w:t>
            </w:r>
          </w:p>
        </w:tc>
        <w:tc>
          <w:tcPr>
            <w:tcW w:w="7500" w:type="dxa"/>
          </w:tcPr>
          <w:p>
            <w:pPr/>
            <w:r>
              <w:rPr/>
              <w:t xml:space="preserve">0.87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330 kg/km</w:t>
            </w:r>
          </w:p>
        </w:tc>
      </w:tr>
      <w:tr>
        <w:trPr/>
        <w:tc>
          <w:tcPr>
            <w:tcW w:w="2500" w:type="dxa"/>
            <w:shd w:val="clear" w:fill="D9D9D9"/>
          </w:tcPr>
          <w:p>
            <w:pPr/>
            <w:r>
              <w:rPr/>
              <w:t xml:space="preserve">Kupfergehalt</w:t>
            </w:r>
          </w:p>
        </w:tc>
        <w:tc>
          <w:tcPr>
            <w:tcW w:w="7500" w:type="dxa"/>
          </w:tcPr>
          <w:p>
            <w:pPr/>
            <w:r>
              <w:rPr/>
              <w:t xml:space="preserve">165 kg/km</w:t>
            </w:r>
          </w:p>
        </w:tc>
      </w:tr>
      <w:tr>
        <w:trPr/>
        <w:tc>
          <w:tcPr>
            <w:tcW w:w="2500" w:type="dxa"/>
            <w:shd w:val="clear" w:fill="D9D9D9"/>
          </w:tcPr>
          <w:p>
            <w:pPr/>
            <w:r>
              <w:rPr/>
              <w:t xml:space="preserve">Zugkraft</w:t>
            </w:r>
          </w:p>
        </w:tc>
        <w:tc>
          <w:tcPr>
            <w:tcW w:w="7500" w:type="dxa"/>
          </w:tcPr>
          <w:p>
            <w:pPr/>
            <w:r>
              <w:rPr/>
              <w:t xml:space="preserve">840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T-T6D/T6D-N23Cxxxx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2024-03-29T12:07:00+00:00</dcterms:created>
  <dcterms:modified xsi:type="dcterms:W3CDTF">2024-03-29T12:07:00+00:00</dcterms:modified>
</cp:coreProperties>
</file>

<file path=docProps/custom.xml><?xml version="1.0" encoding="utf-8"?>
<Properties xmlns="http://schemas.openxmlformats.org/officeDocument/2006/custom-properties" xmlns:vt="http://schemas.openxmlformats.org/officeDocument/2006/docPropsVTypes"/>
</file>