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LC/SC tde 50/125µ OM3 Simplex Mini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Simplex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SC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1 gebufferte Faser 900µ, leicht absetzbar (frei beweglich)</w:t>
            </w:r>
          </w:p>
        </w:tc>
      </w:tr>
      <w:tr>
        <w:trPr/>
        <w:tc>
          <w:tcPr>
            <w:tcW w:w="2500" w:type="dxa"/>
            <w:shd w:val="clear" w:fill="D9D9D9"/>
          </w:tcPr>
          <w:p>
            <w:pPr/>
            <w:r>
              <w:rPr/>
              <w:t xml:space="preserve">Fasertyp</w:t>
            </w:r>
          </w:p>
        </w:tc>
        <w:tc>
          <w:tcPr>
            <w:tcW w:w="7500" w:type="dxa"/>
          </w:tcPr>
          <w:p>
            <w:pPr/>
            <w:r>
              <w:rPr/>
              <w:t xml:space="preserve">MM-OM3, 50/125µ, Corning ClearCurve®</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Aqua, RAL 6027</w:t>
            </w:r>
          </w:p>
        </w:tc>
      </w:tr>
      <w:tr>
        <w:trPr/>
        <w:tc>
          <w:tcPr>
            <w:tcW w:w="2500" w:type="dxa"/>
            <w:shd w:val="clear" w:fill="D9D9D9"/>
          </w:tcPr>
          <w:p>
            <w:pPr/>
            <w:r>
              <w:rPr/>
              <w:t xml:space="preserve">Standardaufdruck</w:t>
            </w:r>
          </w:p>
        </w:tc>
        <w:tc>
          <w:tcPr>
            <w:tcW w:w="7500" w:type="dxa"/>
          </w:tcPr>
          <w:p>
            <w:pPr/>
            <w:r>
              <w:rPr/>
              <w:t xml:space="preserve">"t d e – IVH01G50-OM3-1.8"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1.8 ± 0.1 mm</w:t>
            </w:r>
          </w:p>
        </w:tc>
      </w:tr>
      <w:tr>
        <w:trPr/>
        <w:tc>
          <w:tcPr>
            <w:tcW w:w="2500" w:type="dxa"/>
            <w:shd w:val="clear" w:fill="D9D9D9"/>
          </w:tcPr>
          <w:p>
            <w:pPr/>
            <w:r>
              <w:rPr/>
              <w:t xml:space="preserve">Gewicht</w:t>
            </w:r>
          </w:p>
        </w:tc>
        <w:tc>
          <w:tcPr>
            <w:tcW w:w="7500" w:type="dxa"/>
          </w:tcPr>
          <w:p>
            <w:pPr/>
            <w:r>
              <w:rPr/>
              <w:t xml:space="preserve">6.0 kg/km</w:t>
            </w:r>
          </w:p>
        </w:tc>
      </w:tr>
      <w:tr>
        <w:trPr/>
        <w:tc>
          <w:tcPr>
            <w:tcW w:w="2500" w:type="dxa"/>
            <w:shd w:val="clear" w:fill="D9D9D9"/>
          </w:tcPr>
          <w:p>
            <w:pPr/>
            <w:r>
              <w:rPr/>
              <w:t xml:space="preserve">Zugfestigkeit im Einsatz</w:t>
            </w:r>
          </w:p>
        </w:tc>
        <w:tc>
          <w:tcPr>
            <w:tcW w:w="7500" w:type="dxa"/>
          </w:tcPr>
          <w:p>
            <w:pPr/>
            <w:r>
              <w:rPr/>
              <w:t xml:space="preserve">105 N</w:t>
            </w:r>
          </w:p>
        </w:tc>
      </w:tr>
      <w:tr>
        <w:trPr/>
        <w:tc>
          <w:tcPr>
            <w:tcW w:w="2500" w:type="dxa"/>
            <w:shd w:val="clear" w:fill="D9D9D9"/>
          </w:tcPr>
          <w:p>
            <w:pPr/>
            <w:r>
              <w:rPr/>
              <w:t xml:space="preserve">Biegeradius</w:t>
            </w:r>
          </w:p>
        </w:tc>
        <w:tc>
          <w:tcPr>
            <w:tcW w:w="7500" w:type="dxa"/>
          </w:tcPr>
          <w:p>
            <w:pPr/>
            <w:r>
              <w:rPr/>
              <w:t xml:space="preserve">10 x Außendurchmesser</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P-LC/SC50S3Mxxxxx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2024-03-28T18:41:42+00:00</dcterms:created>
  <dcterms:modified xsi:type="dcterms:W3CDTF">2024-03-28T18:41:42+00:00</dcterms:modified>
</cp:coreProperties>
</file>

<file path=docProps/custom.xml><?xml version="1.0" encoding="utf-8"?>
<Properties xmlns="http://schemas.openxmlformats.org/officeDocument/2006/custom-properties" xmlns:vt="http://schemas.openxmlformats.org/officeDocument/2006/docPropsVTypes"/>
</file>