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tML® - LWL Modul MPO/MTP® m. Pins/6x LC APC Duplex 9/125µ OS2
</w:t>
      </w:r>
    </w:p>
    <w:p>
      <w:pPr/>
      <w:r>
        <w:rPr/>
        <w:t xml:space="preserve">**tML® tde Modular Link
</w:t>
      </w:r>
    </w:p>
    <w:p>
      <w:pPr/>
      <w:r>
        <w:rPr/>
        <w:t xml:space="preserve">tML® ist ein patentiertes modular aufgebautes Verkabelungssystem, das aus den drei Kernkomponenten Modul, Trunkkabel und Modulträger besteht. Die Systemkomponenten sind zu 100 Prozent in Deutschland gefertigt, vorkonfektioniert und getestet. Sie ermöglichen vor Ort – insbesondere in Rechenzentren, aber auch in industriellen Umgebungen – eine Plug-und-play-Installation innerhalb kürzester Zeit. Das Herz des Systems sind die rückseitigen MPO/MTP®- und Telco-Steckverbinder, über die mindestens sechs bzw. zwölf Ports auf einmal verbunden werden können. Je nach Modulbestückung sind derzeit Übertragungsraten von bis zu 800G möglich. Die LWL- und TP-Module lassen sich zusammen in einem Modulträger mit sehr hoher Portdichte gemischt einsetzen. Die tde bietet ihr tML® - Verkabelungssystem als bewährtes tML® Standard System sowie in den hoch innovativen Varianten tML® 12, tML® 24, tML® 32 sowie neu als tML® 24+ System für extreme Skalierbarkeit und sehr einfache Migration zu höheren Übertragungsraten wie zum Beispiel 40G, 100G, 200G, 400G sowie 800G und höher.
</w:t>
      </w:r>
    </w:p>
    <w:p>
      <w:pPr/>
      <w:r>
        <w:rPr/>
        <w:t xml:space="preserve">**tML® Standard - LWL Module MPO/MTP®
</w:t>
      </w:r>
    </w:p>
    <w:p>
      <w:pPr/>
      <w:r>
        <w:rPr/>
        <w:t xml:space="preserve">Das tML®– LWL Modul MPO/MTP®ist für den Einbau im 1HE tML®- Modulträger (für 8 x Module) vorgesehen.
</w:t>
      </w:r>
    </w:p>
    <w:p>
      <w:pPr/>
      <w:r>
        <w:rPr/>
        <w:t xml:space="preserve">**TECHNISCHE_DATEN
</w:t>
      </w:r>
    </w:p>
    <w:p>
      <w:pPr/>
      <w:r>
        <w:rPr/>
        <w:t xml:space="preserve">Die Endflächen der Steckverbinder sind mittels Lasercleaving und Maschinenpolitur optimiert. Die MPO/MTP®Stecker besitzen einen definierten Faserüberstand von 1 - 3.5µ. Die Max. Höhendifferenz benachbarter Fasern beträgt 0.2µm und die aller Fasern 0.3µm. Alle Systemkomponenten (Module, Trunkkabel und Patchkabel) sind zur Erreichung der Performance speziell aufeinander abgestimmt. Das Modul ist beschriftet mit fortlaufender Seriennummer und Artikelnummer. Die Module sind ROHS-konform.
</w:t>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Eingang</w:t>
            </w:r>
          </w:p>
        </w:tc>
        <w:tc>
          <w:tcPr>
            <w:tcW w:w="7500" w:type="dxa"/>
          </w:tcPr>
          <w:p>
            <w:pPr/>
            <w:r>
              <w:rPr/>
              <w:t xml:space="preserve">1 x MPO/MTP®Male Kupplungen (grün) rückseitig</w:t>
            </w:r>
          </w:p>
        </w:tc>
      </w:tr>
      <w:tr>
        <w:trPr/>
        <w:tc>
          <w:tcPr>
            <w:tcW w:w="2500" w:type="dxa"/>
            <w:shd w:val="clear" w:fill="D9D9D9"/>
          </w:tcPr>
          <w:p>
            <w:pPr/>
            <w:r>
              <w:rPr/>
              <w:t xml:space="preserve">Ausgang</w:t>
            </w:r>
          </w:p>
        </w:tc>
        <w:tc>
          <w:tcPr>
            <w:tcW w:w="7500" w:type="dxa"/>
          </w:tcPr>
          <w:p>
            <w:pPr/>
            <w:r>
              <w:rPr/>
              <w:t xml:space="preserve">6 x LC APC Duplex Kupplungen (grün) frontseitig</w:t>
            </w:r>
          </w:p>
        </w:tc>
      </w:tr>
      <w:tr>
        <w:trPr/>
        <w:tc>
          <w:tcPr>
            <w:tcW w:w="2500" w:type="dxa"/>
            <w:shd w:val="clear" w:fill="D9D9D9"/>
          </w:tcPr>
          <w:p>
            <w:pPr/>
            <w:r>
              <w:rPr/>
              <w:t xml:space="preserve">Tests</w:t>
            </w:r>
          </w:p>
        </w:tc>
        <w:tc>
          <w:tcPr>
            <w:tcW w:w="7500" w:type="dxa"/>
          </w:tcPr>
          <w:p>
            <w:pPr/>
            <w:r>
              <w:rPr/>
              <w:t xml:space="preserve">Interferometermessung, Einfüge- und Rückflußdämpfungsmessungen und visuelle Endkontrolle; alle Messwerte sind elektronisch abrufbar</w:t>
            </w:r>
          </w:p>
        </w:tc>
      </w:tr>
      <w:tr>
        <w:trPr/>
        <w:tc>
          <w:tcPr>
            <w:tcW w:w="2500" w:type="dxa"/>
            <w:shd w:val="clear" w:fill="D9D9D9"/>
          </w:tcPr>
          <w:p>
            <w:pPr/>
            <w:r>
              <w:rPr/>
              <w:t xml:space="preserve"> </w:t>
            </w:r>
          </w:p>
        </w:tc>
        <w:tc>
          <w:tcPr>
            <w:tcW w:w="7500" w:type="dxa"/>
          </w:tcPr>
          <w:p>
            <w:pPr/>
            <w:r>
              <w:rPr/>
              <w:t xml:space="preserve">QS-Managementsystem nach ISO 9001, ISO 14001 und TL 9000</w:t>
            </w:r>
          </w:p>
        </w:tc>
      </w:tr>
    </w:tbl>
    <w:p>
      <w:pPr/>
      <w:r>
        <w:rPr/>
        <w:t xml:space="preserve"/>
      </w:r>
    </w:p>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Gehäuse</w:t>
            </w:r>
          </w:p>
        </w:tc>
        <w:tc>
          <w:tcPr>
            <w:tcW w:w="7500" w:type="dxa"/>
          </w:tcPr>
          <w:p>
            <w:pPr/>
            <w:r>
              <w:rPr/>
              <w:t xml:space="preserve">Stahlblech verzinkt</w:t>
            </w:r>
          </w:p>
        </w:tc>
      </w:tr>
      <w:tr>
        <w:trPr/>
        <w:tc>
          <w:tcPr>
            <w:tcW w:w="2500" w:type="dxa"/>
            <w:shd w:val="clear" w:fill="D9D9D9"/>
          </w:tcPr>
          <w:p>
            <w:pPr/>
            <w:r>
              <w:rPr/>
              <w:t xml:space="preserve">Frontplattenfarbe</w:t>
            </w:r>
          </w:p>
        </w:tc>
        <w:tc>
          <w:tcPr>
            <w:tcW w:w="7500" w:type="dxa"/>
          </w:tcPr>
          <w:p>
            <w:pPr/>
            <w:r>
              <w:rPr/>
              <w:t xml:space="preserve">Edelstahl</w:t>
            </w:r>
          </w:p>
        </w:tc>
      </w:tr>
      <w:tr>
        <w:trPr/>
        <w:tc>
          <w:tcPr>
            <w:tcW w:w="2500" w:type="dxa"/>
            <w:shd w:val="clear" w:fill="D9D9D9"/>
          </w:tcPr>
          <w:p>
            <w:pPr/>
            <w:r>
              <w:rPr/>
              <w:t xml:space="preserve">Abmessungen</w:t>
            </w:r>
          </w:p>
        </w:tc>
        <w:tc>
          <w:tcPr>
            <w:tcW w:w="7500" w:type="dxa"/>
          </w:tcPr>
          <w:p>
            <w:pPr/>
            <w:r>
              <w:rPr/>
              <w:t xml:space="preserve">110 x 108 x 20 mm</w:t>
            </w:r>
          </w:p>
        </w:tc>
      </w:tr>
    </w:tbl>
    <w:p>
      <w:pPr/>
      <w:r>
        <w:rPr/>
        <w:t xml:space="preserve"/>
      </w:r>
    </w:p>
    <w:p>
      <w:pPr/>
      <w:r>
        <w:rPr/>
        <w:t xml:space="preserve">***LWL Adapter
</w:t>
      </w:r>
    </w:p>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Typ</w:t>
            </w:r>
          </w:p>
        </w:tc>
        <w:tc>
          <w:tcPr>
            <w:tcW w:w="7500" w:type="dxa"/>
          </w:tcPr>
          <w:p>
            <w:pPr/>
            <w:r>
              <w:rPr/>
              <w:t xml:space="preserve">MPO/MTP®</w:t>
            </w:r>
          </w:p>
        </w:tc>
      </w:tr>
      <w:tr>
        <w:trPr/>
        <w:tc>
          <w:tcPr>
            <w:tcW w:w="2500" w:type="dxa"/>
            <w:shd w:val="clear" w:fill="D9D9D9"/>
          </w:tcPr>
          <w:p>
            <w:pPr/>
            <w:r>
              <w:rPr/>
              <w:t xml:space="preserve">Anwendung</w:t>
            </w:r>
          </w:p>
        </w:tc>
        <w:tc>
          <w:tcPr>
            <w:tcW w:w="7500" w:type="dxa"/>
          </w:tcPr>
          <w:p>
            <w:pPr/>
            <w:r>
              <w:rPr/>
              <w:t xml:space="preserve">Singlemode OS2 APC</w:t>
            </w:r>
          </w:p>
        </w:tc>
      </w:tr>
      <w:tr>
        <w:trPr/>
        <w:tc>
          <w:tcPr>
            <w:tcW w:w="2500" w:type="dxa"/>
            <w:shd w:val="clear" w:fill="D9D9D9"/>
          </w:tcPr>
          <w:p>
            <w:pPr/>
            <w:r>
              <w:rPr/>
              <w:t xml:space="preserve">Bauform</w:t>
            </w:r>
          </w:p>
        </w:tc>
        <w:tc>
          <w:tcPr>
            <w:tcW w:w="7500" w:type="dxa"/>
          </w:tcPr>
          <w:p>
            <w:pPr/>
            <w:r>
              <w:rPr/>
              <w:t xml:space="preserve">ohne Flansch</w:t>
            </w:r>
          </w:p>
        </w:tc>
      </w:tr>
      <w:tr>
        <w:trPr/>
        <w:tc>
          <w:tcPr>
            <w:tcW w:w="2500" w:type="dxa"/>
            <w:shd w:val="clear" w:fill="D9D9D9"/>
          </w:tcPr>
          <w:p>
            <w:pPr/>
            <w:r>
              <w:rPr/>
              <w:t xml:space="preserve">Einbauform</w:t>
            </w:r>
          </w:p>
        </w:tc>
        <w:tc>
          <w:tcPr>
            <w:tcW w:w="7500" w:type="dxa"/>
          </w:tcPr>
          <w:p>
            <w:pPr/>
            <w:r>
              <w:rPr/>
              <w:t xml:space="preserve">SC Simplex</w:t>
            </w:r>
          </w:p>
        </w:tc>
      </w:tr>
      <w:tr>
        <w:trPr/>
        <w:tc>
          <w:tcPr>
            <w:tcW w:w="2500" w:type="dxa"/>
            <w:shd w:val="clear" w:fill="D9D9D9"/>
          </w:tcPr>
          <w:p>
            <w:pPr/>
            <w:r>
              <w:rPr/>
              <w:t xml:space="preserve">Orientierung</w:t>
            </w:r>
          </w:p>
        </w:tc>
        <w:tc>
          <w:tcPr>
            <w:tcW w:w="7500" w:type="dxa"/>
          </w:tcPr>
          <w:p>
            <w:pPr/>
            <w:r>
              <w:rPr/>
              <w:t xml:space="preserve">Typ A, Key up/down</w:t>
            </w:r>
          </w:p>
        </w:tc>
      </w:tr>
      <w:tr>
        <w:trPr/>
        <w:tc>
          <w:tcPr>
            <w:tcW w:w="2500" w:type="dxa"/>
            <w:shd w:val="clear" w:fill="D9D9D9"/>
          </w:tcPr>
          <w:p>
            <w:pPr/>
            <w:r>
              <w:rPr/>
              <w:t xml:space="preserve">Farbe</w:t>
            </w:r>
          </w:p>
        </w:tc>
        <w:tc>
          <w:tcPr>
            <w:tcW w:w="7500" w:type="dxa"/>
          </w:tcPr>
          <w:p>
            <w:pPr/>
            <w:r>
              <w:rPr/>
              <w:t xml:space="preserve">Grün</w:t>
            </w:r>
          </w:p>
        </w:tc>
      </w:tr>
      <w:tr>
        <w:trPr/>
        <w:tc>
          <w:tcPr>
            <w:tcW w:w="2500" w:type="dxa"/>
            <w:shd w:val="clear" w:fill="D9D9D9"/>
          </w:tcPr>
          <w:p>
            <w:pPr/>
            <w:r>
              <w:rPr/>
              <w:t xml:space="preserve">Material</w:t>
            </w:r>
          </w:p>
        </w:tc>
        <w:tc>
          <w:tcPr>
            <w:tcW w:w="7500" w:type="dxa"/>
          </w:tcPr>
          <w:p>
            <w:pPr/>
            <w:r>
              <w:rPr/>
              <w:t xml:space="preserve">Kunststoff</w:t>
            </w:r>
          </w:p>
        </w:tc>
      </w:tr>
      <w:tr>
        <w:trPr/>
        <w:tc>
          <w:tcPr>
            <w:tcW w:w="2500" w:type="dxa"/>
            <w:shd w:val="clear" w:fill="D9D9D9"/>
          </w:tcPr>
          <w:p>
            <w:pPr/>
            <w:r>
              <w:rPr/>
              <w:t xml:space="preserve">Hülse</w:t>
            </w:r>
          </w:p>
        </w:tc>
        <w:tc>
          <w:tcPr>
            <w:tcW w:w="7500" w:type="dxa"/>
          </w:tcPr>
          <w:p>
            <w:pPr/>
            <w:r>
              <w:rPr/>
              <w:t xml:space="preserve">--</w:t>
            </w:r>
          </w:p>
        </w:tc>
      </w:tr>
      <w:tr>
        <w:trPr/>
        <w:tc>
          <w:tcPr>
            <w:tcW w:w="2500" w:type="dxa"/>
            <w:shd w:val="clear" w:fill="D9D9D9"/>
          </w:tcPr>
          <w:p>
            <w:pPr/>
            <w:r>
              <w:rPr/>
              <w:t xml:space="preserve">Klappe</w:t>
            </w:r>
          </w:p>
        </w:tc>
        <w:tc>
          <w:tcPr>
            <w:tcW w:w="7500" w:type="dxa"/>
          </w:tcPr>
          <w:p>
            <w:pPr/>
            <w:r>
              <w:rPr/>
              <w:t xml:space="preserve">--</w:t>
            </w:r>
          </w:p>
        </w:tc>
      </w:tr>
      <w:tr>
        <w:trPr/>
        <w:tc>
          <w:tcPr>
            <w:tcW w:w="2500" w:type="dxa"/>
            <w:shd w:val="clear" w:fill="D9D9D9"/>
          </w:tcPr>
          <w:p>
            <w:pPr/>
            <w:r>
              <w:rPr/>
              <w:t xml:space="preserve">Standards</w:t>
            </w:r>
          </w:p>
        </w:tc>
        <w:tc>
          <w:tcPr>
            <w:tcW w:w="7500" w:type="dxa"/>
          </w:tcPr>
          <w:p>
            <w:pPr/>
            <w:r>
              <w:rPr/>
              <w:t xml:space="preserve">IEC 61754-7 TIA 604-5</w:t>
            </w:r>
          </w:p>
        </w:tc>
      </w:tr>
      <w:tr>
        <w:trPr/>
        <w:tc>
          <w:tcPr>
            <w:tcW w:w="2500" w:type="dxa"/>
            <w:shd w:val="clear" w:fill="D9D9D9"/>
          </w:tcPr>
          <w:p>
            <w:pPr/>
            <w:r>
              <w:rPr/>
              <w:t xml:space="preserve">Hersteller</w:t>
            </w:r>
          </w:p>
        </w:tc>
        <w:tc>
          <w:tcPr>
            <w:tcW w:w="7500" w:type="dxa"/>
          </w:tcPr>
          <w:p>
            <w:pPr/>
            <w:r>
              <w:rPr/>
              <w:t xml:space="preserve">US Conec</w:t>
            </w:r>
          </w:p>
        </w:tc>
      </w:tr>
    </w:tbl>
    <w:p>
      <w:pPr/>
      <w:r>
        <w:rPr/>
        <w:t xml:space="preserve">
</w:t>
      </w:r>
    </w:p>
    <w:p>
      <w:pPr/>
      <w:r>
        <w:rPr/>
        <w:t xml:space="preserve">***LWL Adapter
</w:t>
      </w:r>
    </w:p>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Typ</w:t>
            </w:r>
          </w:p>
        </w:tc>
        <w:tc>
          <w:tcPr>
            <w:tcW w:w="7500" w:type="dxa"/>
          </w:tcPr>
          <w:p>
            <w:pPr/>
            <w:r>
              <w:rPr/>
              <w:t xml:space="preserve">LC Duplex</w:t>
            </w:r>
          </w:p>
        </w:tc>
      </w:tr>
      <w:tr>
        <w:trPr/>
        <w:tc>
          <w:tcPr>
            <w:tcW w:w="2500" w:type="dxa"/>
            <w:shd w:val="clear" w:fill="D9D9D9"/>
          </w:tcPr>
          <w:p>
            <w:pPr/>
            <w:r>
              <w:rPr/>
              <w:t xml:space="preserve">Anwendung</w:t>
            </w:r>
          </w:p>
        </w:tc>
        <w:tc>
          <w:tcPr>
            <w:tcW w:w="7500" w:type="dxa"/>
          </w:tcPr>
          <w:p>
            <w:pPr/>
            <w:r>
              <w:rPr/>
              <w:t xml:space="preserve">Singlemode OS2 APC</w:t>
            </w:r>
          </w:p>
        </w:tc>
      </w:tr>
      <w:tr>
        <w:trPr/>
        <w:tc>
          <w:tcPr>
            <w:tcW w:w="2500" w:type="dxa"/>
            <w:shd w:val="clear" w:fill="D9D9D9"/>
          </w:tcPr>
          <w:p>
            <w:pPr/>
            <w:r>
              <w:rPr/>
              <w:t xml:space="preserve">Bauform</w:t>
            </w:r>
          </w:p>
        </w:tc>
        <w:tc>
          <w:tcPr>
            <w:tcW w:w="7500" w:type="dxa"/>
          </w:tcPr>
          <w:p>
            <w:pPr/>
            <w:r>
              <w:rPr/>
              <w:t xml:space="preserve">One-Piece ohne Flansch</w:t>
            </w:r>
          </w:p>
        </w:tc>
      </w:tr>
      <w:tr>
        <w:trPr/>
        <w:tc>
          <w:tcPr>
            <w:tcW w:w="2500" w:type="dxa"/>
            <w:shd w:val="clear" w:fill="D9D9D9"/>
          </w:tcPr>
          <w:p>
            <w:pPr/>
            <w:r>
              <w:rPr/>
              <w:t xml:space="preserve">Einbauform</w:t>
            </w:r>
          </w:p>
        </w:tc>
        <w:tc>
          <w:tcPr>
            <w:tcW w:w="7500" w:type="dxa"/>
          </w:tcPr>
          <w:p>
            <w:pPr/>
            <w:r>
              <w:rPr/>
              <w:t xml:space="preserve">SC Simplex</w:t>
            </w:r>
          </w:p>
        </w:tc>
      </w:tr>
      <w:tr>
        <w:trPr/>
        <w:tc>
          <w:tcPr>
            <w:tcW w:w="2500" w:type="dxa"/>
            <w:shd w:val="clear" w:fill="D9D9D9"/>
          </w:tcPr>
          <w:p>
            <w:pPr/>
            <w:r>
              <w:rPr/>
              <w:t xml:space="preserve">Farbe</w:t>
            </w:r>
          </w:p>
        </w:tc>
        <w:tc>
          <w:tcPr>
            <w:tcW w:w="7500" w:type="dxa"/>
          </w:tcPr>
          <w:p>
            <w:pPr/>
            <w:r>
              <w:rPr/>
              <w:t xml:space="preserve">Grün</w:t>
            </w:r>
          </w:p>
        </w:tc>
      </w:tr>
      <w:tr>
        <w:trPr/>
        <w:tc>
          <w:tcPr>
            <w:tcW w:w="2500" w:type="dxa"/>
            <w:shd w:val="clear" w:fill="D9D9D9"/>
          </w:tcPr>
          <w:p>
            <w:pPr/>
            <w:r>
              <w:rPr/>
              <w:t xml:space="preserve">Material</w:t>
            </w:r>
          </w:p>
        </w:tc>
        <w:tc>
          <w:tcPr>
            <w:tcW w:w="7500" w:type="dxa"/>
          </w:tcPr>
          <w:p>
            <w:pPr/>
            <w:r>
              <w:rPr/>
              <w:t xml:space="preserve">Kunststoff</w:t>
            </w:r>
          </w:p>
        </w:tc>
      </w:tr>
      <w:tr>
        <w:trPr/>
        <w:tc>
          <w:tcPr>
            <w:tcW w:w="2500" w:type="dxa"/>
            <w:shd w:val="clear" w:fill="D9D9D9"/>
          </w:tcPr>
          <w:p>
            <w:pPr/>
            <w:r>
              <w:rPr/>
              <w:t xml:space="preserve">Hülse</w:t>
            </w:r>
          </w:p>
        </w:tc>
        <w:tc>
          <w:tcPr>
            <w:tcW w:w="7500" w:type="dxa"/>
          </w:tcPr>
          <w:p>
            <w:pPr/>
            <w:r>
              <w:rPr/>
              <w:t xml:space="preserve">Keramik</w:t>
            </w:r>
          </w:p>
        </w:tc>
      </w:tr>
      <w:tr>
        <w:trPr/>
        <w:tc>
          <w:tcPr>
            <w:tcW w:w="2500" w:type="dxa"/>
            <w:shd w:val="clear" w:fill="D9D9D9"/>
          </w:tcPr>
          <w:p>
            <w:pPr/>
            <w:r>
              <w:rPr/>
              <w:t xml:space="preserve">Klappe</w:t>
            </w:r>
          </w:p>
        </w:tc>
        <w:tc>
          <w:tcPr>
            <w:tcW w:w="7500" w:type="dxa"/>
          </w:tcPr>
          <w:p>
            <w:pPr/>
            <w:r>
              <w:rPr/>
              <w:t xml:space="preserve">--</w:t>
            </w:r>
          </w:p>
        </w:tc>
      </w:tr>
      <w:tr>
        <w:trPr/>
        <w:tc>
          <w:tcPr>
            <w:tcW w:w="2500" w:type="dxa"/>
            <w:shd w:val="clear" w:fill="D9D9D9"/>
          </w:tcPr>
          <w:p>
            <w:pPr/>
            <w:r>
              <w:rPr/>
              <w:t xml:space="preserve">Hersteller</w:t>
            </w:r>
          </w:p>
        </w:tc>
        <w:tc>
          <w:tcPr>
            <w:tcW w:w="7500" w:type="dxa"/>
          </w:tcPr>
          <w:p>
            <w:pPr/>
            <w:r>
              <w:rPr/>
              <w:t xml:space="preserve">tde</w:t>
            </w:r>
          </w:p>
        </w:tc>
      </w:tr>
    </w:tbl>
    <w:p>
      <w:pPr/>
      <w:r>
        <w:rPr/>
        <w:t xml:space="preserve">
</w:t>
      </w:r>
    </w:p>
    <w:p>
      <w:pPr/>
      <w:r>
        <w:rPr/>
        <w:t xml:space="preserve">***LWL Steckverbinder
</w:t>
      </w:r>
    </w:p>
    <w:p>
      <w:pPr/>
      <w:r>
        <w:rPr/>
        <w:t xml:space="preserve">Die Endflächen der Steckverbinder sind mittels Lasercleaving und Maschinenpolitur optimiert. Die MPO/MTP® Stecker besitzen einen definierten Faserüberstand von 1 - 3.5µ. Die Max. Höhendifferenz benachbarter Fasern beträgt 0.2µm und die aller Fasern 0.3µm.
</w:t>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Stecker</w:t>
            </w:r>
          </w:p>
        </w:tc>
        <w:tc>
          <w:tcPr>
            <w:tcW w:w="7500" w:type="dxa"/>
          </w:tcPr>
          <w:p>
            <w:pPr/>
            <w:r>
              <w:rPr/>
              <w:t xml:space="preserve">MPO/MTP® APC Male Push Pull Verriegelung mit Elite Pins (Grün)</w:t>
            </w:r>
          </w:p>
        </w:tc>
      </w:tr>
      <w:tr>
        <w:trPr/>
        <w:tc>
          <w:tcPr>
            <w:tcW w:w="2500" w:type="dxa"/>
            <w:shd w:val="clear" w:fill="D9D9D9"/>
          </w:tcPr>
          <w:p>
            <w:pPr/>
            <w:r>
              <w:rPr/>
              <w:t xml:space="preserve">Ferrule</w:t>
            </w:r>
          </w:p>
        </w:tc>
        <w:tc>
          <w:tcPr>
            <w:tcW w:w="7500" w:type="dxa"/>
          </w:tcPr>
          <w:p>
            <w:pPr/>
            <w:r>
              <w:rPr/>
              <w:t xml:space="preserve">12 Faser SM Elite® Ferrule, PPS</w:t>
            </w:r>
          </w:p>
        </w:tc>
      </w:tr>
      <w:tr>
        <w:trPr/>
        <w:tc>
          <w:tcPr>
            <w:tcW w:w="2500" w:type="dxa"/>
            <w:shd w:val="clear" w:fill="D9D9D9"/>
          </w:tcPr>
          <w:p>
            <w:pPr/>
            <w:r>
              <w:rPr/>
              <w:t xml:space="preserve">Tüllenfarbe</w:t>
            </w:r>
          </w:p>
        </w:tc>
        <w:tc>
          <w:tcPr>
            <w:tcW w:w="7500" w:type="dxa"/>
          </w:tcPr>
          <w:p>
            <w:pPr/>
            <w:r>
              <w:rPr/>
              <w:t xml:space="preserve">Schwarz</w:t>
            </w:r>
          </w:p>
        </w:tc>
      </w:tr>
      <w:tr>
        <w:trPr/>
        <w:tc>
          <w:tcPr>
            <w:tcW w:w="2500" w:type="dxa"/>
            <w:shd w:val="clear" w:fill="D9D9D9"/>
          </w:tcPr>
          <w:p>
            <w:pPr/>
            <w:r>
              <w:rPr/>
              <w:t xml:space="preserve">Temperaturbereich</w:t>
            </w:r>
          </w:p>
        </w:tc>
        <w:tc>
          <w:tcPr>
            <w:tcW w:w="7500" w:type="dxa"/>
          </w:tcPr>
          <w:p>
            <w:pPr/>
            <w:r>
              <w:rPr/>
              <w:t xml:space="preserve">-40°C bis +75°C</w:t>
            </w:r>
          </w:p>
        </w:tc>
      </w:tr>
      <w:tr>
        <w:trPr/>
        <w:tc>
          <w:tcPr>
            <w:tcW w:w="2500" w:type="dxa"/>
            <w:shd w:val="clear" w:fill="D9D9D9"/>
          </w:tcPr>
          <w:p>
            <w:pPr/>
            <w:r>
              <w:rPr/>
              <w:t xml:space="preserve">Hersteller</w:t>
            </w:r>
          </w:p>
        </w:tc>
        <w:tc>
          <w:tcPr>
            <w:tcW w:w="7500" w:type="dxa"/>
          </w:tcPr>
          <w:p>
            <w:pPr/>
            <w:r>
              <w:rPr/>
              <w:t xml:space="preserve">tde/US Conec</w:t>
            </w:r>
          </w:p>
        </w:tc>
      </w:tr>
    </w:tbl>
    <w:p>
      <w:pPr/>
      <w:r>
        <w:rPr/>
        <w:t xml:space="preserve"/>
      </w:r>
    </w:p>
    <w:tbl>
      <w:tblGrid>
        <w:gridCol/>
        <w:gridCol/>
        <w:gridCol/>
        <w:gridCol/>
        <w:gridCol/>
        <w:gridCol/>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shd w:val="clear" w:fill="D9D9D9"/>
          </w:tcPr>
          <w:p>
            <w:pPr/>
            <w:r>
              <w:rPr/>
              <w:t xml:space="preserve">Faser</w:t>
            </w:r>
          </w:p>
        </w:tc>
        <w:tc>
          <w:tcPr>
            <w:shd w:val="clear" w:fill="D9D9D9"/>
          </w:tcPr>
          <w:p>
            <w:pPr/>
            <w:r>
              <w:rPr/>
              <w:t xml:space="preserve">Typ</w:t>
            </w:r>
          </w:p>
        </w:tc>
        <w:tc>
          <w:tcPr>
            <w:shd w:val="clear" w:fill="D9D9D9"/>
          </w:tcPr>
          <w:p>
            <w:pPr/>
            <w:r>
              <w:rPr/>
              <w:t xml:space="preserve">Wellenlänge</w:t>
            </w:r>
          </w:p>
        </w:tc>
        <w:tc>
          <w:tcPr>
            <w:shd w:val="clear" w:fill="D9D9D9"/>
          </w:tcPr>
          <w:p>
            <w:pPr/>
            <w:r>
              <w:rPr/>
              <w:t xml:space="preserve">Einfügedämpfung typ.</w:t>
            </w:r>
          </w:p>
        </w:tc>
        <w:tc>
          <w:tcPr>
            <w:shd w:val="clear" w:fill="D9D9D9"/>
          </w:tcPr>
          <w:p>
            <w:pPr/>
            <w:r>
              <w:rPr/>
              <w:t xml:space="preserve">Einfügedämpfung max.</w:t>
            </w:r>
          </w:p>
        </w:tc>
        <w:tc>
          <w:tcPr>
            <w:shd w:val="clear" w:fill="D9D9D9"/>
          </w:tcPr>
          <w:p>
            <w:pPr/>
            <w:r>
              <w:rPr/>
              <w:t xml:space="preserve">Rückflussdämpfung min.</w:t>
            </w:r>
          </w:p>
        </w:tc>
      </w:tr>
      <w:tr>
        <w:trPr/>
        <w:tc>
          <w:tcPr/>
          <w:p>
            <w:pPr/>
            <w:r>
              <w:rPr/>
              <w:t xml:space="preserve">9/125µ OS2</w:t>
            </w:r>
          </w:p>
        </w:tc>
        <w:tc>
          <w:tcPr/>
          <w:p>
            <w:pPr/>
            <w:r>
              <w:rPr/>
              <w:t xml:space="preserve">MPO/MTP®APC</w:t>
            </w:r>
          </w:p>
        </w:tc>
        <w:tc>
          <w:tcPr/>
          <w:p>
            <w:pPr/>
            <w:r>
              <w:rPr/>
              <w:t xml:space="preserve">1550 nm</w:t>
            </w:r>
          </w:p>
        </w:tc>
        <w:tc>
          <w:tcPr/>
          <w:p>
            <w:pPr/>
            <w:r>
              <w:rPr/>
              <w:t xml:space="preserve">≤ 0.10 dB</w:t>
            </w:r>
          </w:p>
        </w:tc>
        <w:tc>
          <w:tcPr/>
          <w:p>
            <w:pPr/>
            <w:r>
              <w:rPr/>
              <w:t xml:space="preserve">0.20 dB</w:t>
            </w:r>
          </w:p>
        </w:tc>
        <w:tc>
          <w:tcPr/>
          <w:p>
            <w:pPr/>
            <w:r>
              <w:rPr/>
              <w:t xml:space="preserve">75 dB</w:t>
            </w:r>
          </w:p>
        </w:tc>
      </w:tr>
    </w:tbl>
    <w:p>
      <w:pPr/>
      <w:r>
        <w:rPr/>
        <w:t xml:space="preserve"/>
      </w:r>
    </w:p>
    <w:p>
      <w:pPr/>
      <w:r>
        <w:rPr/>
        <w:t xml:space="preserve">***LWL Steckverbinder
</w:t>
      </w:r>
    </w:p>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Stecker Typ</w:t>
            </w:r>
          </w:p>
        </w:tc>
        <w:tc>
          <w:tcPr>
            <w:tcW w:w="7500" w:type="dxa"/>
          </w:tcPr>
          <w:p>
            <w:pPr/>
            <w:r>
              <w:rPr/>
              <w:t xml:space="preserve">LC APC Unibody Simplex</w:t>
            </w:r>
          </w:p>
        </w:tc>
      </w:tr>
      <w:tr>
        <w:trPr/>
        <w:tc>
          <w:tcPr>
            <w:tcW w:w="2500" w:type="dxa"/>
            <w:shd w:val="clear" w:fill="D9D9D9"/>
          </w:tcPr>
          <w:p>
            <w:pPr/>
            <w:r>
              <w:rPr/>
              <w:t xml:space="preserve">Gehäuse</w:t>
            </w:r>
          </w:p>
        </w:tc>
        <w:tc>
          <w:tcPr>
            <w:tcW w:w="7500" w:type="dxa"/>
          </w:tcPr>
          <w:p>
            <w:pPr/>
            <w:r>
              <w:rPr/>
              <w:t xml:space="preserve">Kunststoff, Grün</w:t>
            </w:r>
          </w:p>
        </w:tc>
      </w:tr>
      <w:tr>
        <w:trPr/>
        <w:tc>
          <w:tcPr>
            <w:tcW w:w="2500" w:type="dxa"/>
            <w:shd w:val="clear" w:fill="D9D9D9"/>
          </w:tcPr>
          <w:p>
            <w:pPr/>
            <w:r>
              <w:rPr/>
              <w:t xml:space="preserve">Ferrule</w:t>
            </w:r>
          </w:p>
        </w:tc>
        <w:tc>
          <w:tcPr>
            <w:tcW w:w="7500" w:type="dxa"/>
          </w:tcPr>
          <w:p>
            <w:pPr/>
            <w:r>
              <w:rPr/>
              <w:t xml:space="preserve">Keramik, Axial gefedert</w:t>
            </w:r>
          </w:p>
        </w:tc>
      </w:tr>
      <w:tr>
        <w:trPr/>
        <w:tc>
          <w:tcPr>
            <w:tcW w:w="2500" w:type="dxa"/>
            <w:shd w:val="clear" w:fill="D9D9D9"/>
          </w:tcPr>
          <w:p>
            <w:pPr/>
            <w:r>
              <w:rPr/>
              <w:t xml:space="preserve">Ferrul-Bohrung</w:t>
            </w:r>
          </w:p>
        </w:tc>
        <w:tc>
          <w:tcPr>
            <w:tcW w:w="7500" w:type="dxa"/>
          </w:tcPr>
          <w:p>
            <w:pPr/>
            <w:r>
              <w:rPr/>
              <w:t xml:space="preserve">125.5 µ</w:t>
            </w:r>
          </w:p>
        </w:tc>
      </w:tr>
      <w:tr>
        <w:trPr/>
        <w:tc>
          <w:tcPr>
            <w:tcW w:w="2500" w:type="dxa"/>
            <w:shd w:val="clear" w:fill="D9D9D9"/>
          </w:tcPr>
          <w:p>
            <w:pPr/>
            <w:r>
              <w:rPr/>
              <w:t xml:space="preserve">Ferrul-Konzentrizität</w:t>
            </w:r>
          </w:p>
        </w:tc>
        <w:tc>
          <w:tcPr>
            <w:tcW w:w="7500" w:type="dxa"/>
          </w:tcPr>
          <w:p>
            <w:pPr/>
            <w:r>
              <w:rPr/>
              <w:t xml:space="preserve">≤ 0.6 µ</w:t>
            </w:r>
          </w:p>
        </w:tc>
      </w:tr>
      <w:tr>
        <w:trPr/>
        <w:tc>
          <w:tcPr>
            <w:tcW w:w="2500" w:type="dxa"/>
            <w:shd w:val="clear" w:fill="D9D9D9"/>
          </w:tcPr>
          <w:p>
            <w:pPr/>
            <w:r>
              <w:rPr/>
              <w:t xml:space="preserve">Steckzyklen</w:t>
            </w:r>
          </w:p>
        </w:tc>
        <w:tc>
          <w:tcPr>
            <w:tcW w:w="7500" w:type="dxa"/>
          </w:tcPr>
          <w:p>
            <w:pPr/>
            <w:r>
              <w:rPr/>
              <w:t xml:space="preserve">500</w:t>
            </w:r>
          </w:p>
        </w:tc>
      </w:tr>
      <w:tr>
        <w:trPr/>
        <w:tc>
          <w:tcPr>
            <w:tcW w:w="2500" w:type="dxa"/>
            <w:shd w:val="clear" w:fill="D9D9D9"/>
          </w:tcPr>
          <w:p>
            <w:pPr/>
            <w:r>
              <w:rPr/>
              <w:t xml:space="preserve">Betriebstemperatur</w:t>
            </w:r>
          </w:p>
        </w:tc>
        <w:tc>
          <w:tcPr>
            <w:tcW w:w="7500" w:type="dxa"/>
          </w:tcPr>
          <w:p>
            <w:pPr/>
            <w:r>
              <w:rPr/>
              <w:t xml:space="preserve">-40°C bis +75°C</w:t>
            </w:r>
          </w:p>
        </w:tc>
      </w:tr>
      <w:tr>
        <w:trPr/>
        <w:tc>
          <w:tcPr>
            <w:tcW w:w="2500" w:type="dxa"/>
            <w:shd w:val="clear" w:fill="D9D9D9"/>
          </w:tcPr>
          <w:p>
            <w:pPr/>
            <w:r>
              <w:rPr/>
              <w:t xml:space="preserve">Zugentlastung bis</w:t>
            </w:r>
          </w:p>
        </w:tc>
        <w:tc>
          <w:tcPr>
            <w:tcW w:w="7500" w:type="dxa"/>
          </w:tcPr>
          <w:p>
            <w:pPr/>
            <w:r>
              <w:rPr/>
              <w:t xml:space="preserve">100 N</w:t>
            </w:r>
          </w:p>
        </w:tc>
      </w:tr>
      <w:tr>
        <w:trPr/>
        <w:tc>
          <w:tcPr>
            <w:tcW w:w="2500" w:type="dxa"/>
            <w:shd w:val="clear" w:fill="D9D9D9"/>
          </w:tcPr>
          <w:p>
            <w:pPr/>
            <w:r>
              <w:rPr/>
              <w:t xml:space="preserve">Hersteller</w:t>
            </w:r>
          </w:p>
        </w:tc>
        <w:tc>
          <w:tcPr>
            <w:tcW w:w="7500" w:type="dxa"/>
          </w:tcPr>
          <w:p>
            <w:pPr/>
            <w:r>
              <w:rPr/>
              <w:t xml:space="preserve">tde</w:t>
            </w:r>
          </w:p>
        </w:tc>
      </w:tr>
    </w:tbl>
    <w:p>
      <w:pPr/>
      <w:r>
        <w:rPr/>
        <w:t xml:space="preserve"/>
      </w:r>
    </w:p>
    <w:tbl>
      <w:tblGrid>
        <w:gridCol/>
        <w:gridCol/>
        <w:gridCol/>
        <w:gridCol/>
        <w:gridCol/>
        <w:gridCol/>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shd w:val="clear" w:fill="D9D9D9"/>
          </w:tcPr>
          <w:p>
            <w:pPr/>
            <w:r>
              <w:rPr/>
              <w:t xml:space="preserve">Faser</w:t>
            </w:r>
          </w:p>
        </w:tc>
        <w:tc>
          <w:tcPr>
            <w:shd w:val="clear" w:fill="D9D9D9"/>
          </w:tcPr>
          <w:p>
            <w:pPr/>
            <w:r>
              <w:rPr/>
              <w:t xml:space="preserve">Typ</w:t>
            </w:r>
          </w:p>
        </w:tc>
        <w:tc>
          <w:tcPr>
            <w:shd w:val="clear" w:fill="D9D9D9"/>
          </w:tcPr>
          <w:p>
            <w:pPr/>
            <w:r>
              <w:rPr/>
              <w:t xml:space="preserve">Wellenlänge</w:t>
            </w:r>
          </w:p>
        </w:tc>
        <w:tc>
          <w:tcPr>
            <w:shd w:val="clear" w:fill="D9D9D9"/>
          </w:tcPr>
          <w:p>
            <w:pPr/>
            <w:r>
              <w:rPr/>
              <w:t xml:space="preserve">Einfügedämpfung typ.</w:t>
            </w:r>
          </w:p>
        </w:tc>
        <w:tc>
          <w:tcPr>
            <w:shd w:val="clear" w:fill="D9D9D9"/>
          </w:tcPr>
          <w:p>
            <w:pPr/>
            <w:r>
              <w:rPr/>
              <w:t xml:space="preserve">Einfügedämpfung max.</w:t>
            </w:r>
          </w:p>
        </w:tc>
        <w:tc>
          <w:tcPr>
            <w:shd w:val="clear" w:fill="D9D9D9"/>
          </w:tcPr>
          <w:p>
            <w:pPr/>
            <w:r>
              <w:rPr/>
              <w:t xml:space="preserve">Rückflussdämpfung min.</w:t>
            </w:r>
          </w:p>
        </w:tc>
      </w:tr>
      <w:tr>
        <w:trPr/>
        <w:tc>
          <w:tcPr/>
          <w:p>
            <w:pPr/>
            <w:r>
              <w:rPr/>
              <w:t xml:space="preserve">9/125µ</w:t>
            </w:r>
          </w:p>
        </w:tc>
        <w:tc>
          <w:tcPr/>
          <w:p>
            <w:pPr/>
            <w:r>
              <w:rPr/>
              <w:t xml:space="preserve">LC APC</w:t>
            </w:r>
          </w:p>
        </w:tc>
        <w:tc>
          <w:tcPr/>
          <w:p>
            <w:pPr/>
            <w:r>
              <w:rPr/>
              <w:t xml:space="preserve">1550 nm</w:t>
            </w:r>
          </w:p>
        </w:tc>
        <w:tc>
          <w:tcPr/>
          <w:p>
            <w:pPr/>
            <w:r>
              <w:rPr/>
              <w:t xml:space="preserve">≤ 0.10 dB</w:t>
            </w:r>
          </w:p>
        </w:tc>
        <w:tc>
          <w:tcPr/>
          <w:p>
            <w:pPr/>
            <w:r>
              <w:rPr/>
              <w:t xml:space="preserve">0.18 dB</w:t>
            </w:r>
          </w:p>
        </w:tc>
        <w:tc>
          <w:tcPr/>
          <w:p>
            <w:pPr/>
            <w:r>
              <w:rPr/>
              <w:t xml:space="preserve">75 dB</w:t>
            </w:r>
          </w:p>
        </w:tc>
      </w:tr>
    </w:tbl>
    <w:p>
      <w:pPr/>
      <w:r>
        <w:rPr/>
        <w:t xml:space="preserve"/>
      </w:r>
    </w:p>
    <w:sectPr>
      <w:headerReference w:type="default" r:id="rId7"/>
      <w:head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Liefern und montieren von TML-M06LCADKH/MPP09E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head-left">
    <w:name w:val="head-left"/>
    <w:uiPriority w:val="99"/>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style>
  <w:style w:type="table" w:customStyle="1" w:styleId="head-top">
    <w:name w:val="head-top"/>
    <w:uiPriority w:val="99"/>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blStylePr w:type="firstRow">
      <w:tcPr>
        <w:tcPr>
          <w:shd w:val="clear" w:fill="D9D9D9"/>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2025-04-26T17:03:44+00:00</dcterms:created>
  <dcterms:modified xsi:type="dcterms:W3CDTF">2025-04-26T17:03:44+00:00</dcterms:modified>
</cp:coreProperties>
</file>

<file path=docProps/custom.xml><?xml version="1.0" encoding="utf-8"?>
<Properties xmlns="http://schemas.openxmlformats.org/officeDocument/2006/custom-properties" xmlns:vt="http://schemas.openxmlformats.org/officeDocument/2006/docPropsVTypes"/>
</file>