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Modul MPO/MTP® m. Pins/6x SC Duplex 50/125µ OM2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Module MPO/MTP®
</w:t>
      </w:r>
    </w:p>
    <w:p>
      <w:pPr/>
      <w:r>
        <w:rPr/>
        <w:t xml:space="preserve">Das tML®– LWL Modul MPO/MTP®ist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MPO/MTP®Male Kupplungen (beige) rückseitig</w:t>
            </w:r>
          </w:p>
        </w:tc>
      </w:tr>
      <w:tr>
        <w:trPr/>
        <w:tc>
          <w:tcPr>
            <w:tcW w:w="2500" w:type="dxa"/>
            <w:shd w:val="clear" w:fill="D9D9D9"/>
          </w:tcPr>
          <w:p>
            <w:pPr/>
            <w:r>
              <w:rPr/>
              <w:t xml:space="preserve">Ausgang</w:t>
            </w:r>
          </w:p>
        </w:tc>
        <w:tc>
          <w:tcPr>
            <w:tcW w:w="7500" w:type="dxa"/>
          </w:tcPr>
          <w:p>
            <w:pPr/>
            <w:r>
              <w:rPr/>
              <w:t xml:space="preserve">6 x SC Duplex Kupplungen (beige)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OM1/OM2</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Beige</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SC Duplex</w:t>
            </w:r>
          </w:p>
        </w:tc>
      </w:tr>
      <w:tr>
        <w:trPr/>
        <w:tc>
          <w:tcPr>
            <w:tcW w:w="2500" w:type="dxa"/>
            <w:shd w:val="clear" w:fill="D9D9D9"/>
          </w:tcPr>
          <w:p>
            <w:pPr/>
            <w:r>
              <w:rPr/>
              <w:t xml:space="preserve">Anwendung</w:t>
            </w:r>
          </w:p>
        </w:tc>
        <w:tc>
          <w:tcPr>
            <w:tcW w:w="7500" w:type="dxa"/>
          </w:tcPr>
          <w:p>
            <w:pPr/>
            <w:r>
              <w:rPr/>
              <w:t xml:space="preserve">Multimode OM2/OM1</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Beige</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(Beige)</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MPO/MTP®</w:t>
            </w:r>
          </w:p>
        </w:tc>
        <w:tc>
          <w:tcPr/>
          <w:p>
            <w:pPr/>
            <w:r>
              <w:rPr/>
              <w:t xml:space="preserve">850 nm</w:t>
            </w:r>
          </w:p>
        </w:tc>
        <w:tc>
          <w:tcPr/>
          <w:p>
            <w:pPr/>
            <w:r>
              <w:rPr/>
              <w:t xml:space="preserve">≤ 0.25 dB</w:t>
            </w:r>
          </w:p>
        </w:tc>
        <w:tc>
          <w:tcPr/>
          <w:p>
            <w:pPr/>
            <w:r>
              <w:rPr/>
              <w:t xml:space="preserve">0.45 dB</w:t>
            </w:r>
          </w:p>
        </w:tc>
        <w:tc>
          <w:tcPr/>
          <w:p>
            <w:pPr/>
            <w:r>
              <w:rPr/>
              <w:t xml:space="preserve">20 dB</w:t>
            </w:r>
          </w:p>
        </w:tc>
      </w:tr>
      <w:tr>
        <w:trPr/>
        <w:tc>
          <w:tcPr/>
          <w:p>
            <w:pPr/>
            <w:r>
              <w:rPr/>
              <w:t xml:space="preserve">62.5/125µ OM1</w:t>
            </w:r>
          </w:p>
        </w:tc>
        <w:tc>
          <w:tcPr/>
          <w:p>
            <w:pPr/>
            <w:r>
              <w:rPr/>
              <w:t xml:space="preserve">MPO/MTP®</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Simplex</w:t>
            </w:r>
          </w:p>
        </w:tc>
      </w:tr>
      <w:tr>
        <w:trPr/>
        <w:tc>
          <w:tcPr>
            <w:tcW w:w="2500" w:type="dxa"/>
            <w:shd w:val="clear" w:fill="D9D9D9"/>
          </w:tcPr>
          <w:p>
            <w:pPr/>
            <w:r>
              <w:rPr/>
              <w:t xml:space="preserve">Gehäuse</w:t>
            </w:r>
          </w:p>
        </w:tc>
        <w:tc>
          <w:tcPr>
            <w:tcW w:w="7500" w:type="dxa"/>
          </w:tcPr>
          <w:p>
            <w:pPr/>
            <w:r>
              <w:rPr/>
              <w:t xml:space="preserve">Kunststoff, Beige</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Bohrung in der Ferrule</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TML-M06SCDK/MPP50G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2025-04-16T23:06:18+00:00</dcterms:created>
  <dcterms:modified xsi:type="dcterms:W3CDTF">2025-04-16T23:06:18+00:00</dcterms:modified>
</cp:coreProperties>
</file>

<file path=docProps/custom.xml><?xml version="1.0" encoding="utf-8"?>
<Properties xmlns="http://schemas.openxmlformats.org/officeDocument/2006/custom-properties" xmlns:vt="http://schemas.openxmlformats.org/officeDocument/2006/docPropsVTypes"/>
</file>