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Kabeleinführung Breakout 12fach für Modulträger 1HE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Beim tML®- Modulträger 19"/1HE können zwei Kabeleinführungen und beim 10"/1HE eine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Kabeleinführung Breakout 12fach</w:t>
            </w:r>
          </w:p>
        </w:tc>
      </w:tr>
      <w:tr>
        <w:trPr/>
        <w:tc>
          <w:tcPr>
            <w:tcW w:w="2500" w:type="dxa"/>
            <w:shd w:val="clear" w:fill="D9D9D9"/>
          </w:tcPr>
          <w:p>
            <w:pPr/>
            <w:r>
              <w:rPr/>
              <w:t xml:space="preserve">Material</w:t>
            </w:r>
          </w:p>
        </w:tc>
        <w:tc>
          <w:tcPr>
            <w:tcW w:w="7500" w:type="dxa"/>
          </w:tcPr>
          <w:p>
            <w:pPr/>
            <w:r>
              <w:rPr/>
              <w:t xml:space="preserve">Stahlblech verzinkt</w:t>
            </w:r>
          </w:p>
        </w:tc>
      </w:tr>
      <w:tr>
        <w:trPr/>
        <w:tc>
          <w:tcPr>
            <w:tcW w:w="2500" w:type="dxa"/>
            <w:shd w:val="clear" w:fill="D9D9D9"/>
          </w:tcPr>
          <w:p>
            <w:pPr/>
            <w:r>
              <w:rPr/>
              <w:t xml:space="preserve">Montageart</w:t>
            </w:r>
          </w:p>
        </w:tc>
        <w:tc>
          <w:tcPr>
            <w:tcW w:w="7500" w:type="dxa"/>
          </w:tcPr>
          <w:p>
            <w:pPr/>
            <w:r>
              <w:rPr/>
              <w:t xml:space="preserve">rückseitig am tML® - Modulträger mit zwei beiliegenden Schrauben. Ein Mittelsteg muss vorher entfernt werden.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TML-K-B-12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2024-04-25T12:58:20+00:00</dcterms:created>
  <dcterms:modified xsi:type="dcterms:W3CDTF">2024-04-25T12:58:20+00:00</dcterms:modified>
</cp:coreProperties>
</file>

<file path=docProps/custom.xml><?xml version="1.0" encoding="utf-8"?>
<Properties xmlns="http://schemas.openxmlformats.org/officeDocument/2006/custom-properties" xmlns:vt="http://schemas.openxmlformats.org/officeDocument/2006/docPropsVTypes"/>
</file>