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Trunkkabel 2x MPO Female/2x MPO Female 24G50/125µ OM3 LSHF, Typ C, Länge: xxx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Trunkkabel MPO/MTP®
</w:t>
      </w:r>
    </w:p>
    <w:p>
      <w:pPr/>
      <w:r>
        <w:rPr/>
        <w:t xml:space="preserve">Das tML®– LWL Trunkkabel ist für die Verbindung mit tML® - LWL Modulen vorgesehen.
</w:t>
      </w:r>
    </w:p>
    <w:p>
      <w:pPr/>
      <w:r>
        <w:rPr/>
        <w:t xml:space="preserve">**TECHNISCHE_DATEN
</w:t>
      </w:r>
    </w:p>
    <w:p>
      <w:pPr/>
      <w:r>
        <w:rPr/>
        <w:t xml:space="preserve">Das tML®– LWL Trunkkabel ist beidseitig mit MPO/MTP®Steckverbindern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(aqua)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0.14 dB</w:t>
            </w:r>
          </w:p>
        </w:tc>
        <w:tc>
          <w:tcPr/>
          <w:p>
            <w:pPr/>
            <w:r>
              <w:rPr/>
              <w:t xml:space="preserve">0.25 dB</w:t>
            </w:r>
          </w:p>
        </w:tc>
        <w:tc>
          <w:tcPr/>
          <w:p>
            <w:pPr/>
            <w:r>
              <w:rPr/>
              <w:t xml:space="preserve">35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50 mm</w:t>
            </w:r>
          </w:p>
        </w:tc>
      </w:tr>
      <w:tr>
        <w:trPr/>
        <w:tc>
          <w:tcPr>
            <w:tcW w:w="2500" w:type="dxa"/>
            <w:shd w:val="clear" w:fill="D9D9D9"/>
          </w:tcPr>
          <w:p>
            <w:pPr/>
            <w:r>
              <w:rPr/>
              <w:t xml:space="preserve">Ø Aufteiler</w:t>
            </w:r>
          </w:p>
        </w:tc>
        <w:tc>
          <w:tcPr>
            <w:tcW w:w="7500" w:type="dxa"/>
          </w:tcPr>
          <w:p>
            <w:pPr/>
            <w:r>
              <w:rPr/>
              <w:t xml:space="preserve">16 mm</w:t>
            </w:r>
          </w:p>
        </w:tc>
      </w:tr>
      <w:tr>
        <w:trPr/>
        <w:tc>
          <w:tcPr>
            <w:tcW w:w="2500" w:type="dxa"/>
            <w:shd w:val="clear" w:fill="D9D9D9"/>
          </w:tcPr>
          <w:p>
            <w:pPr/>
            <w:r>
              <w:rPr/>
              <w:t xml:space="preserve">Ø Peitsche</w:t>
            </w:r>
          </w:p>
        </w:tc>
        <w:tc>
          <w:tcPr>
            <w:tcW w:w="7500" w:type="dxa"/>
          </w:tcPr>
          <w:p>
            <w:pPr/>
            <w:r>
              <w:rPr/>
              <w:t xml:space="preserve">3.0 mm</w:t>
            </w:r>
          </w:p>
        </w:tc>
      </w:tr>
      <w:tr>
        <w:trPr/>
        <w:tc>
          <w:tcPr>
            <w:tcW w:w="2500" w:type="dxa"/>
            <w:shd w:val="clear" w:fill="D9D9D9"/>
          </w:tcPr>
          <w:p>
            <w:pPr/>
            <w:r>
              <w:rPr/>
              <w:t xml:space="preserve">Peitschenlänge</w:t>
            </w:r>
          </w:p>
        </w:tc>
        <w:tc>
          <w:tcPr>
            <w:tcW w:w="7500" w:type="dxa"/>
          </w:tcPr>
          <w:p>
            <w:pPr/>
            <w:r>
              <w:rPr/>
              <w:t xml:space="preserve">78 ± 5 cm (nicht gestuft)</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 bis +70°C, IEC 60794-1-22 F1</w:t>
            </w:r>
          </w:p>
        </w:tc>
      </w:tr>
      <w:tr>
        <w:trPr/>
        <w:tc>
          <w:tcPr>
            <w:tcW w:w="2500" w:type="dxa"/>
            <w:shd w:val="clear" w:fill="D9D9D9"/>
          </w:tcPr>
          <w:p>
            <w:pPr/>
            <w:r>
              <w:rPr/>
              <w:t xml:space="preserve"> </w:t>
            </w:r>
          </w:p>
        </w:tc>
        <w:tc>
          <w:tcPr>
            <w:tcW w:w="7500" w:type="dxa"/>
          </w:tcPr>
          <w:p>
            <w:pPr/>
            <w:r>
              <w:rPr/>
              <w:t xml:space="preserve">Einzug -10 bis +50°C</w:t>
            </w:r>
          </w:p>
        </w:tc>
      </w:tr>
      <w:tr>
        <w:trPr/>
        <w:tc>
          <w:tcPr>
            <w:tcW w:w="2500" w:type="dxa"/>
            <w:shd w:val="clear" w:fill="D9D9D9"/>
          </w:tcPr>
          <w:p>
            <w:pPr/>
            <w:r>
              <w:rPr/>
              <w:t xml:space="preserve"> </w:t>
            </w:r>
          </w:p>
        </w:tc>
        <w:tc>
          <w:tcPr>
            <w:tcW w:w="7500" w:type="dxa"/>
          </w:tcPr>
          <w:p>
            <w:pPr/>
            <w:r>
              <w:rPr/>
              <w:t xml:space="preserve">Betrieb -25 bis +60°C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50266-2-4, VDE 0482-266-2-4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Dca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 und IEC 60332.3 C</w:t>
            </w:r>
          </w:p>
        </w:tc>
      </w:tr>
      <w:tr>
        <w:trPr/>
        <w:tc>
          <w:tcPr>
            <w:tcW w:w="2500" w:type="dxa"/>
            <w:shd w:val="clear" w:fill="D9D9D9"/>
          </w:tcPr>
          <w:p>
            <w:pPr/>
            <w:r>
              <w:rPr/>
              <w:t xml:space="preserve">Fasertyp</w:t>
            </w:r>
          </w:p>
        </w:tc>
        <w:tc>
          <w:tcPr>
            <w:tcW w:w="7500" w:type="dxa"/>
          </w:tcPr>
          <w:p>
            <w:pPr/>
            <w:r>
              <w:rPr/>
              <w:t xml:space="preserve">Corning G50/125 OM3</w:t>
            </w:r>
          </w:p>
        </w:tc>
      </w:tr>
      <w:tr>
        <w:trPr/>
        <w:tc>
          <w:tcPr>
            <w:tcW w:w="2500" w:type="dxa"/>
            <w:shd w:val="clear" w:fill="D9D9D9"/>
          </w:tcPr>
          <w:p>
            <w:pPr/>
            <w:r>
              <w:rPr/>
              <w:t xml:space="preserve">Faserzahl</w:t>
            </w:r>
          </w:p>
        </w:tc>
        <w:tc>
          <w:tcPr>
            <w:tcW w:w="7500" w:type="dxa"/>
          </w:tcPr>
          <w:p>
            <w:pPr/>
            <w:r>
              <w:rPr/>
              <w:t xml:space="preserve">24</w:t>
            </w:r>
          </w:p>
        </w:tc>
      </w:tr>
      <w:tr>
        <w:trPr/>
        <w:tc>
          <w:tcPr>
            <w:tcW w:w="2500" w:type="dxa"/>
            <w:shd w:val="clear" w:fill="D9D9D9"/>
          </w:tcPr>
          <w:p>
            <w:pPr/>
            <w:r>
              <w:rPr/>
              <w:t xml:space="preserve">Bündeladern</w:t>
            </w:r>
          </w:p>
        </w:tc>
        <w:tc>
          <w:tcPr>
            <w:tcW w:w="7500" w:type="dxa"/>
          </w:tcPr>
          <w:p>
            <w:pPr/>
            <w:r>
              <w:rPr/>
              <w:t xml:space="preserve">1</w:t>
            </w:r>
          </w:p>
        </w:tc>
      </w:tr>
      <w:tr>
        <w:trPr/>
        <w:tc>
          <w:tcPr>
            <w:tcW w:w="2500" w:type="dxa"/>
            <w:shd w:val="clear" w:fill="D9D9D9"/>
          </w:tcPr>
          <w:p>
            <w:pPr/>
            <w:r>
              <w:rPr/>
              <w:t xml:space="preserve">øüber Mantel</w:t>
            </w:r>
          </w:p>
        </w:tc>
        <w:tc>
          <w:tcPr>
            <w:tcW w:w="7500" w:type="dxa"/>
          </w:tcPr>
          <w:p>
            <w:pPr/>
            <w:r>
              <w:rPr/>
              <w:t xml:space="preserve">8.2 mm</w:t>
            </w:r>
          </w:p>
        </w:tc>
      </w:tr>
      <w:tr>
        <w:trPr/>
        <w:tc>
          <w:tcPr>
            <w:tcW w:w="2500" w:type="dxa"/>
            <w:shd w:val="clear" w:fill="D9D9D9"/>
          </w:tcPr>
          <w:p>
            <w:pPr/>
            <w:r>
              <w:rPr/>
              <w:t xml:space="preserve">Gewicht</w:t>
            </w:r>
          </w:p>
        </w:tc>
        <w:tc>
          <w:tcPr>
            <w:tcW w:w="7500" w:type="dxa"/>
          </w:tcPr>
          <w:p>
            <w:pPr/>
            <w:r>
              <w:rPr/>
              <w:t xml:space="preserve">72 kg/km</w:t>
            </w:r>
          </w:p>
        </w:tc>
      </w:tr>
      <w:tr>
        <w:trPr/>
        <w:tc>
          <w:tcPr>
            <w:tcW w:w="2500" w:type="dxa"/>
            <w:shd w:val="clear" w:fill="D9D9D9"/>
          </w:tcPr>
          <w:p>
            <w:pPr/>
            <w:r>
              <w:rPr/>
              <w:t xml:space="preserve">Biegeradius</w:t>
            </w:r>
          </w:p>
        </w:tc>
        <w:tc>
          <w:tcPr>
            <w:tcW w:w="7500" w:type="dxa"/>
          </w:tcPr>
          <w:p>
            <w:pPr/>
            <w:r>
              <w:rPr/>
              <w:t xml:space="preserve">125 mm</w:t>
            </w:r>
          </w:p>
        </w:tc>
      </w:tr>
      <w:tr>
        <w:trPr/>
        <w:tc>
          <w:tcPr>
            <w:tcW w:w="2500" w:type="dxa"/>
            <w:shd w:val="clear" w:fill="D9D9D9"/>
          </w:tcPr>
          <w:p>
            <w:pPr/>
            <w:r>
              <w:rPr/>
              <w:t xml:space="preserve">Zugkraft kurzzeitig</w:t>
            </w:r>
          </w:p>
        </w:tc>
        <w:tc>
          <w:tcPr>
            <w:tcW w:w="7500" w:type="dxa"/>
          </w:tcPr>
          <w:p>
            <w:pPr/>
            <w:r>
              <w:rPr/>
              <w:t xml:space="preserve">3.500 N</w:t>
            </w:r>
          </w:p>
        </w:tc>
      </w:tr>
      <w:tr>
        <w:trPr/>
        <w:tc>
          <w:tcPr>
            <w:tcW w:w="2500" w:type="dxa"/>
            <w:shd w:val="clear" w:fill="D9D9D9"/>
          </w:tcPr>
          <w:p>
            <w:pPr/>
            <w:r>
              <w:rPr/>
              <w:t xml:space="preserve">Zugkraft dauernd</w:t>
            </w:r>
          </w:p>
        </w:tc>
        <w:tc>
          <w:tcPr>
            <w:tcW w:w="7500" w:type="dxa"/>
          </w:tcPr>
          <w:p>
            <w:pPr/>
            <w:r>
              <w:rPr/>
              <w:t xml:space="preserve">1.500 N</w:t>
            </w:r>
          </w:p>
        </w:tc>
      </w:tr>
      <w:tr>
        <w:trPr/>
        <w:tc>
          <w:tcPr>
            <w:tcW w:w="2500" w:type="dxa"/>
            <w:shd w:val="clear" w:fill="D9D9D9"/>
          </w:tcPr>
          <w:p>
            <w:pPr/>
            <w:r>
              <w:rPr/>
              <w:t xml:space="preserve">Querdruck kurzzeitig</w:t>
            </w:r>
          </w:p>
        </w:tc>
        <w:tc>
          <w:tcPr>
            <w:tcW w:w="7500" w:type="dxa"/>
          </w:tcPr>
          <w:p>
            <w:pPr/>
            <w:r>
              <w:rPr/>
              <w:t xml:space="preserve">5.000 N</w:t>
            </w:r>
          </w:p>
        </w:tc>
      </w:tr>
      <w:tr>
        <w:trPr/>
        <w:tc>
          <w:tcPr>
            <w:tcW w:w="2500" w:type="dxa"/>
            <w:shd w:val="clear" w:fill="D9D9D9"/>
          </w:tcPr>
          <w:p>
            <w:pPr/>
            <w:r>
              <w:rPr/>
              <w:t xml:space="preserve">Querdruck dauernd</w:t>
            </w:r>
          </w:p>
        </w:tc>
        <w:tc>
          <w:tcPr>
            <w:tcW w:w="7500" w:type="dxa"/>
          </w:tcPr>
          <w:p>
            <w:pPr/>
            <w:r>
              <w:rPr/>
              <w:t xml:space="preserve">3.000 N</w:t>
            </w:r>
          </w:p>
        </w:tc>
      </w:tr>
      <w:tr>
        <w:trPr/>
        <w:tc>
          <w:tcPr>
            <w:tcW w:w="2500" w:type="dxa"/>
            <w:shd w:val="clear" w:fill="D9D9D9"/>
          </w:tcPr>
          <w:p>
            <w:pPr/>
            <w:r>
              <w:rPr/>
              <w:t xml:space="preserve">Brandlast</w:t>
            </w:r>
          </w:p>
        </w:tc>
        <w:tc>
          <w:tcPr>
            <w:tcW w:w="7500" w:type="dxa"/>
          </w:tcPr>
          <w:p>
            <w:pPr/>
            <w:r>
              <w:rPr/>
              <w:t xml:space="preserve">336 kWh/km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TML-MP/MP50B24G3-xxx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2025-04-04T22:30:38+00:00</dcterms:created>
  <dcterms:modified xsi:type="dcterms:W3CDTF">2025-04-04T22:30:38+00:00</dcterms:modified>
</cp:coreProperties>
</file>

<file path=docProps/custom.xml><?xml version="1.0" encoding="utf-8"?>
<Properties xmlns="http://schemas.openxmlformats.org/officeDocument/2006/custom-properties" xmlns:vt="http://schemas.openxmlformats.org/officeDocument/2006/docPropsVTypes"/>
</file>