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Draka - UC900 SS23 Cat.7 S/FTP 4P LSHF-(FR)
</w:t>
      </w:r>
    </w:p>
    <w:p>
      <w:pPr/>
      <w:r>
        <w:rPr/>
        <w:t xml:space="preserve">**UC Data Cable - Draka Office Network Solution
</w:t>
      </w:r>
    </w:p>
    <w:p>
      <w:pPr/>
      <w:r>
        <w:rPr/>
        <w:t xml:space="preserve">Symmetrical 100 Ω data transmission cables from Universal Cable line UC.. acc. to ISO/IEC 11801, EN 50173 and EIA/TIA 568A are used for high speed data transmission, mainly in secondary and horizontal cabling in standardised, manufacturer-independent local networks (LAN), ranging from Token Ring, Ethernet, ISDN, TPDDI, Fast-Ethernet 100Base-TX to ATMand Gigabit-Ethernet 1000Base-T and CATV. All shielded cables of line UC400 and up are ready for 10 Gigabit Ethernet (IEEE802.3: 10GBase-T).
</w:t>
      </w:r>
    </w:p>
    <w:p>
      <w:pPr/>
      <w:r>
        <w:rPr/>
        <w:t xml:space="preserve">**TP Cable
</w:t>
      </w:r>
    </w:p>
    <w:p>
      <w:pPr/>
      <w:r>
        <w:rPr/>
        <w:t xml:space="preserve">Application
Primary (Campus), Secondary (Riser), Tertiary (Horizontal)
IEEE 802.3: 10Base-T; 100Base-T; 1000Base-T; 10GBase-T
IEEE 802.5 16 MB; ISDN; TPDDI; ATM
Power over Ethernet (PoE) / PoE+
Standards
EN 50173-1; EN 50288-4-1
ISO/IEC 11801; IEC 61156-5
IEEE 802.3af
Flame resistance
LSHF (LSOH): IEC 60332-1; IEC 60754-2; IEC 61034; Class Eca
LSHF-FR (LSOH-FR): IEC 60332-1; IEC 60332-3-24; IEC 60754-2; IEC 61034; EN 50399; Class Dca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bare copper wire, Ø 0.56 mm (AWG 23/1)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foamskin PE, Ø 1.38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(PiMF)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 or LSHF-FR orange RAL 2003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60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154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(500 V)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425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9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Segregation classification acc. EN 50174-2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"d"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1.8</w:t>
            </w:r>
          </w:p>
        </w:tc>
        <w:tc>
          <w:tcPr/>
          <w:p>
            <w:pPr/>
            <w:r>
              <w:rPr/>
              <w:t xml:space="preserve">104</w:t>
            </w:r>
          </w:p>
        </w:tc>
        <w:tc>
          <w:tcPr/>
          <w:p>
            <w:pPr/>
            <w:r>
              <w:rPr/>
              <w:t xml:space="preserve">101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99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-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27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5.4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6.8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7.7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9.6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13.7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17.4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19.5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21.9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23.3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25.0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28.1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30.9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450.0</w:t>
            </w:r>
          </w:p>
        </w:tc>
        <w:tc>
          <w:tcPr/>
          <w:p>
            <w:pPr/>
            <w:r>
              <w:rPr/>
              <w:t xml:space="preserve">38.3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600.0</w:t>
            </w:r>
          </w:p>
        </w:tc>
        <w:tc>
          <w:tcPr/>
          <w:p>
            <w:pPr/>
            <w:r>
              <w:rPr/>
              <w:t xml:space="preserve">44.8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750.0</w:t>
            </w:r>
          </w:p>
        </w:tc>
        <w:tc>
          <w:tcPr/>
          <w:p>
            <w:pPr/>
            <w:r>
              <w:rPr/>
              <w:t xml:space="preserve">52.0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900.0</w:t>
            </w:r>
          </w:p>
        </w:tc>
        <w:tc>
          <w:tcPr/>
          <w:p>
            <w:pPr/>
            <w:r>
              <w:rPr/>
              <w:t xml:space="preserve">59.4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1000.0</w:t>
            </w:r>
          </w:p>
        </w:tc>
        <w:tc>
          <w:tcPr/>
          <w:p>
            <w:pPr/>
            <w:r>
              <w:rPr/>
              <w:t xml:space="preserve">63.1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14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7.5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585 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0.163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75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38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340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UC900-SS23-4P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2024-04-25T10:43:57+00:00</dcterms:created>
  <dcterms:modified xsi:type="dcterms:W3CDTF">2024-04-25T10:43:57+00:00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