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24E9/125µ G.652.D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IVHH24E9/125</w:t>
            </w:r>
          </w:p>
        </w:tc>
      </w:t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Aufbau</w:t>
            </w:r>
          </w:p>
        </w:tc>
        <w:tc>
          <w:tcPr>
            <w:tcW w:w="7500" w:type="dxa"/>
          </w:tcPr>
          <w:p>
            <w:pPr/>
            <w:r>
              <w:rPr/>
              <w:t xml:space="preserve">4 x 6</w:t>
            </w:r>
          </w:p>
        </w:tc>
      </w:tr>
      <w:tr>
        <w:trPr/>
        <w:tc>
          <w:tcPr>
            <w:tcW w:w="2500" w:type="dxa"/>
            <w:shd w:val="clear" w:fill="D9D9D9"/>
          </w:tcPr>
          <w:p>
            <w:pPr/>
            <w:r>
              <w:rPr/>
              <w:t xml:space="preserve">Außendurchmesser</w:t>
            </w:r>
          </w:p>
        </w:tc>
        <w:tc>
          <w:tcPr>
            <w:tcW w:w="7500" w:type="dxa"/>
          </w:tcPr>
          <w:p>
            <w:pPr/>
            <w:r>
              <w:rPr/>
              <w:t xml:space="preserve">17.4 mm</w:t>
            </w:r>
          </w:p>
        </w:tc>
      </w:tr>
      <w:tr>
        <w:trPr/>
        <w:tc>
          <w:tcPr>
            <w:tcW w:w="2500" w:type="dxa"/>
            <w:shd w:val="clear" w:fill="D9D9D9"/>
          </w:tcPr>
          <w:p>
            <w:pPr/>
            <w:r>
              <w:rPr/>
              <w:t xml:space="preserve">Toleranz</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Gelb</w:t>
            </w:r>
          </w:p>
        </w:tc>
      </w:tr>
      <w:tr>
        <w:trPr/>
        <w:tc>
          <w:tcPr>
            <w:tcW w:w="2500" w:type="dxa"/>
            <w:shd w:val="clear" w:fill="D9D9D9"/>
          </w:tcPr>
          <w:p>
            <w:pPr/>
            <w:r>
              <w:rPr/>
              <w:t xml:space="preserve">Standardaufdruck</w:t>
            </w:r>
          </w:p>
        </w:tc>
        <w:tc>
          <w:tcPr>
            <w:tcW w:w="7500" w:type="dxa"/>
          </w:tcPr>
          <w:p>
            <w:pPr/>
            <w:r>
              <w:rPr/>
              <w:t xml:space="preserve">“t d e – IVHH24E09-2.0”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Gewicht</w:t>
            </w:r>
          </w:p>
        </w:tc>
        <w:tc>
          <w:tcPr>
            <w:tcW w:w="7500" w:type="dxa"/>
          </w:tcPr>
          <w:p>
            <w:pPr/>
            <w:r>
              <w:rPr/>
              <w:t xml:space="preserve">235 kg/km</w:t>
            </w:r>
          </w:p>
        </w:tc>
      </w:tr>
      <w:tr>
        <w:trPr/>
        <w:tc>
          <w:tcPr>
            <w:tcW w:w="2500" w:type="dxa"/>
            <w:shd w:val="clear" w:fill="D9D9D9"/>
          </w:tcPr>
          <w:p>
            <w:pPr/>
            <w:r>
              <w:rPr/>
              <w:t xml:space="preserve">Zugkraft</w:t>
            </w:r>
          </w:p>
        </w:tc>
        <w:tc>
          <w:tcPr>
            <w:tcW w:w="7500" w:type="dxa"/>
          </w:tcPr>
          <w:p>
            <w:pPr/>
            <w:r>
              <w:rPr/>
              <w:t xml:space="preserve">3200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EN 50266, IEC 60332-3</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L-IVHH24E09-2.0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2024-03-28T13:36:26+00:00</dcterms:created>
  <dcterms:modified xsi:type="dcterms:W3CDTF">2024-03-28T13:36:26+00:00</dcterms:modified>
</cp:coreProperties>
</file>

<file path=docProps/custom.xml><?xml version="1.0" encoding="utf-8"?>
<Properties xmlns="http://schemas.openxmlformats.org/officeDocument/2006/custom-properties" xmlns:vt="http://schemas.openxmlformats.org/officeDocument/2006/docPropsVTypes"/>
</file>