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LWL Patchkabel FC APC/SC APC tde 9/125µ OS2 Duplex LSOH Länge: xxxxx
</w:t>
      </w:r>
    </w:p>
    <w:p>
      <w:pPr/>
      <w:r>
        <w:rPr/>
        <w:t xml:space="preserve">**tde - LWL Konfektion
</w:t>
      </w:r>
    </w:p>
    <w:p>
      <w:pPr/>
      <w:r>
        <w:rPr/>
        <w:t xml:space="preserve">Die tde Patchkabel und Trunkkabel Applikationen werden ganzheitlich am deutschen Standort Ohrte gefertigt. Die Fertigungsprozesse entsprechen dem modernsten Stand - tde verfügt über eine der modernsten LWL-Kabelkonfektionen in Europa. Auf zwei unabhängigen, fließbandartigen Fertigungslinien werden mit einem sehr hohen Automationsgrad LWL Patchkabel und Trunkkabel in den unterschiedlichsten Konfigurationen hergestellt. Das Angebot umfasst nahezu das komplette am Markt befindliche Steckverbinder-Spektrum. Die Produktionskapazität liegt bei etwa 100.000 LWL Steckverbindern pro Monat und kann bei Bedarf jederzeit mühelos aufgestockt werden. Um eine gleich bleibende Spitzenqualität zu gewährleisten, werden ausschließlich hochwertigste Komponenten namhafter Hersteller eingesetzt. Alle tde Produktionsmitarbeiter bringen von Hause aus eine qualifizierte Ausbildung mit und sind im Umgang mit technischem Spezial-Equipment wie Lasercleavern und Kleberobotern bestens geschult.
Jede Kabelapplikation durchläuft ein 100-prozentiges Prüfverfahren in Form von Interferometermessungen, Einfüge- und Rückflußdämpfungsmessungen und visueller Endkontrolle.
Produkte aus dem Hause tde erfüllen mindestens international geltende Qualitätsstandards und Normen. Das Qualitätsmanagementsystem ist nach ISO 9001, ISO 14001 und TL9000 zertifiziert.
</w:t>
      </w:r>
    </w:p>
    <w:p>
      <w:pPr/>
      <w:r>
        <w:rPr/>
        <w:t xml:space="preserve">**LWL Patchkabel Duplex Standard
</w:t>
      </w:r>
    </w:p>
    <w:p>
      <w:pPr/>
      <w:r>
        <w:rPr/>
        <w:t xml:space="preserve">**TECHNISCHE_DATEN
</w:t>
      </w:r>
    </w:p>
    <w:p>
      <w:pPr/>
      <w:r>
        <w:rPr/>
        <w:t xml:space="preserve">***LWL Steckverbinder
</w:t>
      </w:r>
    </w:p>
    <w:p>
      <w:pPr/>
      <w:r>
        <w:rPr/>
        <w:t xml:space="preserve"/>
      </w:r>
    </w:p>
    <w:tbl>
      <w:tblGrid>
        <w:gridCol w:w="2500" w:type="dxa"/>
        <w:gridCol w:w="7500" w:type="dxa"/>
      </w:tblGrid>
      <w:tblPr>
        <w:jc w:val="center"/>
        <w:tblW w:w="5000" w:type="pct"/>
        <w:tblLayout w:type="autofit"/>
        <w:tblCellMar>
          <w:top w:w="50" w:type="dxa"/>
          <w:left w:w="50" w:type="dxa"/>
          <w:right w:w="50" w:type="dxa"/>
          <w:bottom w:w="50" w:type="dxa"/>
        </w:tblCellMar>
        <w:tblBorders>
          <w:top w:val="single" w:sz="6" w:color="666666"/>
          <w:left w:val="single" w:sz="6" w:color="666666"/>
          <w:right w:val="single" w:sz="6" w:color="666666"/>
          <w:bottom w:val="single" w:sz="6" w:color="666666"/>
          <w:insideH w:val="single" w:sz="6" w:color="666666"/>
          <w:insideV w:val="single" w:sz="6" w:color="666666"/>
        </w:tblBorders>
      </w:tblPr>
      <w:tr>
        <w:trPr/>
        <w:tc>
          <w:tcPr>
            <w:tcW w:w="2500" w:type="dxa"/>
            <w:shd w:val="clear" w:fill="D9D9D9"/>
          </w:tcPr>
          <w:p>
            <w:pPr/>
            <w:r>
              <w:rPr/>
              <w:t xml:space="preserve">Stecker Typ</w:t>
            </w:r>
          </w:p>
        </w:tc>
        <w:tc>
          <w:tcPr>
            <w:tcW w:w="7500" w:type="dxa"/>
          </w:tcPr>
          <w:p>
            <w:pPr/>
            <w:r>
              <w:rPr/>
              <w:t xml:space="preserve">FC APC</w:t>
            </w:r>
          </w:p>
        </w:tc>
      </w:tr>
      <w:tr>
        <w:trPr/>
        <w:tc>
          <w:tcPr>
            <w:tcW w:w="2500" w:type="dxa"/>
            <w:shd w:val="clear" w:fill="D9D9D9"/>
          </w:tcPr>
          <w:p>
            <w:pPr/>
            <w:r>
              <w:rPr/>
              <w:t xml:space="preserve">Gehäuse</w:t>
            </w:r>
          </w:p>
        </w:tc>
        <w:tc>
          <w:tcPr>
            <w:tcW w:w="7500" w:type="dxa"/>
          </w:tcPr>
          <w:p>
            <w:pPr/>
            <w:r>
              <w:rPr/>
              <w:t xml:space="preserve">Metall</w:t>
            </w:r>
          </w:p>
        </w:tc>
      </w:tr>
      <w:tr>
        <w:trPr/>
        <w:tc>
          <w:tcPr>
            <w:tcW w:w="2500" w:type="dxa"/>
            <w:shd w:val="clear" w:fill="D9D9D9"/>
          </w:tcPr>
          <w:p>
            <w:pPr/>
            <w:r>
              <w:rPr/>
              <w:t xml:space="preserve">Ferrule</w:t>
            </w:r>
          </w:p>
        </w:tc>
        <w:tc>
          <w:tcPr>
            <w:tcW w:w="7500" w:type="dxa"/>
          </w:tcPr>
          <w:p>
            <w:pPr/>
            <w:r>
              <w:rPr/>
              <w:t xml:space="preserve">Keramik, Axial gefedert</w:t>
            </w:r>
          </w:p>
        </w:tc>
      </w:tr>
      <w:tr>
        <w:trPr/>
        <w:tc>
          <w:tcPr>
            <w:tcW w:w="2500" w:type="dxa"/>
            <w:shd w:val="clear" w:fill="D9D9D9"/>
          </w:tcPr>
          <w:p>
            <w:pPr/>
            <w:r>
              <w:rPr/>
              <w:t xml:space="preserve">Ferrul-Bohrung</w:t>
            </w:r>
          </w:p>
        </w:tc>
        <w:tc>
          <w:tcPr>
            <w:tcW w:w="7500" w:type="dxa"/>
          </w:tcPr>
          <w:p>
            <w:pPr/>
            <w:r>
              <w:rPr/>
              <w:t xml:space="preserve">125.5 µ</w:t>
            </w:r>
          </w:p>
        </w:tc>
      </w:tr>
      <w:tr>
        <w:trPr/>
        <w:tc>
          <w:tcPr>
            <w:tcW w:w="2500" w:type="dxa"/>
            <w:shd w:val="clear" w:fill="D9D9D9"/>
          </w:tcPr>
          <w:p>
            <w:pPr/>
            <w:r>
              <w:rPr/>
              <w:t xml:space="preserve">Ferrul-Konzentrizität</w:t>
            </w:r>
          </w:p>
        </w:tc>
        <w:tc>
          <w:tcPr>
            <w:tcW w:w="7500" w:type="dxa"/>
          </w:tcPr>
          <w:p>
            <w:pPr/>
            <w:r>
              <w:rPr/>
              <w:t xml:space="preserve">≤ 0.6 µ</w:t>
            </w:r>
          </w:p>
        </w:tc>
      </w:tr>
      <w:tr>
        <w:trPr/>
        <w:tc>
          <w:tcPr>
            <w:tcW w:w="2500" w:type="dxa"/>
            <w:shd w:val="clear" w:fill="D9D9D9"/>
          </w:tcPr>
          <w:p>
            <w:pPr/>
            <w:r>
              <w:rPr/>
              <w:t xml:space="preserve">Steckzyklen</w:t>
            </w:r>
          </w:p>
        </w:tc>
        <w:tc>
          <w:tcPr>
            <w:tcW w:w="7500" w:type="dxa"/>
          </w:tcPr>
          <w:p>
            <w:pPr/>
            <w:r>
              <w:rPr/>
              <w:t xml:space="preserve">500</w:t>
            </w:r>
          </w:p>
        </w:tc>
      </w:tr>
      <w:tr>
        <w:trPr/>
        <w:tc>
          <w:tcPr>
            <w:tcW w:w="2500" w:type="dxa"/>
            <w:shd w:val="clear" w:fill="D9D9D9"/>
          </w:tcPr>
          <w:p>
            <w:pPr/>
            <w:r>
              <w:rPr/>
              <w:t xml:space="preserve">Betriebstemperatur</w:t>
            </w:r>
          </w:p>
        </w:tc>
        <w:tc>
          <w:tcPr>
            <w:tcW w:w="7500" w:type="dxa"/>
          </w:tcPr>
          <w:p>
            <w:pPr/>
            <w:r>
              <w:rPr/>
              <w:t xml:space="preserve">-40°C bis +75°C</w:t>
            </w:r>
          </w:p>
        </w:tc>
      </w:tr>
      <w:tr>
        <w:trPr/>
        <w:tc>
          <w:tcPr>
            <w:tcW w:w="2500" w:type="dxa"/>
            <w:shd w:val="clear" w:fill="D9D9D9"/>
          </w:tcPr>
          <w:p>
            <w:pPr/>
            <w:r>
              <w:rPr/>
              <w:t xml:space="preserve">Zugentlastung bis</w:t>
            </w:r>
          </w:p>
        </w:tc>
        <w:tc>
          <w:tcPr>
            <w:tcW w:w="7500" w:type="dxa"/>
          </w:tcPr>
          <w:p>
            <w:pPr/>
            <w:r>
              <w:rPr/>
              <w:t xml:space="preserve">150 N</w:t>
            </w:r>
          </w:p>
        </w:tc>
      </w:tr>
      <w:tr>
        <w:trPr/>
        <w:tc>
          <w:tcPr>
            <w:tcW w:w="2500" w:type="dxa"/>
            <w:shd w:val="clear" w:fill="D9D9D9"/>
          </w:tcPr>
          <w:p>
            <w:pPr/>
            <w:r>
              <w:rPr/>
              <w:t xml:space="preserve">Hersteller</w:t>
            </w:r>
          </w:p>
        </w:tc>
        <w:tc>
          <w:tcPr>
            <w:tcW w:w="7500" w:type="dxa"/>
          </w:tcPr>
          <w:p>
            <w:pPr/>
            <w:r>
              <w:rPr/>
              <w:t xml:space="preserve">tde</w:t>
            </w:r>
          </w:p>
        </w:tc>
      </w:tr>
    </w:tbl>
    <w:p>
      <w:pPr/>
      <w:r>
        <w:rPr/>
        <w:t xml:space="preserve"/>
      </w:r>
    </w:p>
    <w:tbl>
      <w:tblGrid>
        <w:gridCol/>
        <w:gridCol/>
        <w:gridCol/>
        <w:gridCol/>
        <w:gridCol/>
        <w:gridCol/>
      </w:tblGrid>
      <w:tblPr>
        <w:jc w:val="center"/>
        <w:tblW w:w="5000" w:type="pct"/>
        <w:tblLayout w:type="autofit"/>
        <w:tblCellMar>
          <w:top w:w="50" w:type="dxa"/>
          <w:left w:w="50" w:type="dxa"/>
          <w:right w:w="50" w:type="dxa"/>
          <w:bottom w:w="50" w:type="dxa"/>
        </w:tblCellMar>
        <w:tblBorders>
          <w:top w:val="single" w:sz="6" w:color="666666"/>
          <w:left w:val="single" w:sz="6" w:color="666666"/>
          <w:right w:val="single" w:sz="6" w:color="666666"/>
          <w:bottom w:val="single" w:sz="6" w:color="666666"/>
          <w:insideH w:val="single" w:sz="6" w:color="666666"/>
          <w:insideV w:val="single" w:sz="6" w:color="666666"/>
        </w:tblBorders>
      </w:tblPr>
      <w:tr>
        <w:trPr/>
        <w:tc>
          <w:tcPr>
            <w:shd w:val="clear" w:fill="D9D9D9"/>
          </w:tcPr>
          <w:p>
            <w:pPr/>
            <w:r>
              <w:rPr/>
              <w:t xml:space="preserve">Faser</w:t>
            </w:r>
          </w:p>
        </w:tc>
        <w:tc>
          <w:tcPr>
            <w:shd w:val="clear" w:fill="D9D9D9"/>
          </w:tcPr>
          <w:p>
            <w:pPr/>
            <w:r>
              <w:rPr/>
              <w:t xml:space="preserve">Typ</w:t>
            </w:r>
          </w:p>
        </w:tc>
        <w:tc>
          <w:tcPr>
            <w:shd w:val="clear" w:fill="D9D9D9"/>
          </w:tcPr>
          <w:p>
            <w:pPr/>
            <w:r>
              <w:rPr/>
              <w:t xml:space="preserve">Wellenlänge</w:t>
            </w:r>
          </w:p>
        </w:tc>
        <w:tc>
          <w:tcPr>
            <w:shd w:val="clear" w:fill="D9D9D9"/>
          </w:tcPr>
          <w:p>
            <w:pPr/>
            <w:r>
              <w:rPr/>
              <w:t xml:space="preserve">Einfügedämpfung typ.</w:t>
            </w:r>
          </w:p>
        </w:tc>
        <w:tc>
          <w:tcPr>
            <w:shd w:val="clear" w:fill="D9D9D9"/>
          </w:tcPr>
          <w:p>
            <w:pPr/>
            <w:r>
              <w:rPr/>
              <w:t xml:space="preserve">Einfügedämpfung max.</w:t>
            </w:r>
          </w:p>
        </w:tc>
        <w:tc>
          <w:tcPr>
            <w:shd w:val="clear" w:fill="D9D9D9"/>
          </w:tcPr>
          <w:p>
            <w:pPr/>
            <w:r>
              <w:rPr/>
              <w:t xml:space="preserve">Rückflussdämpfung min.</w:t>
            </w:r>
          </w:p>
        </w:tc>
      </w:tr>
      <w:tr>
        <w:trPr/>
        <w:tc>
          <w:tcPr/>
          <w:p>
            <w:pPr/>
            <w:r>
              <w:rPr/>
              <w:t xml:space="preserve">9/125µ</w:t>
            </w:r>
          </w:p>
        </w:tc>
        <w:tc>
          <w:tcPr/>
          <w:p>
            <w:pPr/>
            <w:r>
              <w:rPr/>
              <w:t xml:space="preserve">FC APC</w:t>
            </w:r>
          </w:p>
        </w:tc>
        <w:tc>
          <w:tcPr/>
          <w:p>
            <w:pPr/>
            <w:r>
              <w:rPr/>
              <w:t xml:space="preserve">1550 nm</w:t>
            </w:r>
          </w:p>
        </w:tc>
        <w:tc>
          <w:tcPr/>
          <w:p>
            <w:pPr/>
            <w:r>
              <w:rPr/>
              <w:t xml:space="preserve">≤ 0.20 dB</w:t>
            </w:r>
          </w:p>
        </w:tc>
        <w:tc>
          <w:tcPr/>
          <w:p>
            <w:pPr/>
            <w:r>
              <w:rPr/>
              <w:t xml:space="preserve">0.45 dB</w:t>
            </w:r>
          </w:p>
        </w:tc>
        <w:tc>
          <w:tcPr/>
          <w:p>
            <w:pPr/>
            <w:r>
              <w:rPr/>
              <w:t xml:space="preserve">70 dB</w:t>
            </w:r>
          </w:p>
        </w:tc>
      </w:tr>
    </w:tbl>
    <w:p>
      <w:pPr/>
      <w:r>
        <w:rPr/>
        <w:t xml:space="preserve"/>
      </w:r>
    </w:p>
    <w:p>
      <w:pPr/>
      <w:r>
        <w:rPr/>
        <w:t xml:space="preserve">***LWL Steckverbinder
</w:t>
      </w:r>
    </w:p>
    <w:p>
      <w:pPr/>
      <w:r>
        <w:rPr/>
        <w:t xml:space="preserve"/>
      </w:r>
    </w:p>
    <w:tbl>
      <w:tblGrid>
        <w:gridCol w:w="2500" w:type="dxa"/>
        <w:gridCol w:w="7500" w:type="dxa"/>
      </w:tblGrid>
      <w:tblPr>
        <w:jc w:val="center"/>
        <w:tblW w:w="5000" w:type="pct"/>
        <w:tblLayout w:type="autofit"/>
        <w:tblCellMar>
          <w:top w:w="50" w:type="dxa"/>
          <w:left w:w="50" w:type="dxa"/>
          <w:right w:w="50" w:type="dxa"/>
          <w:bottom w:w="50" w:type="dxa"/>
        </w:tblCellMar>
        <w:tblBorders>
          <w:top w:val="single" w:sz="6" w:color="666666"/>
          <w:left w:val="single" w:sz="6" w:color="666666"/>
          <w:right w:val="single" w:sz="6" w:color="666666"/>
          <w:bottom w:val="single" w:sz="6" w:color="666666"/>
          <w:insideH w:val="single" w:sz="6" w:color="666666"/>
          <w:insideV w:val="single" w:sz="6" w:color="666666"/>
        </w:tblBorders>
      </w:tblPr>
      <w:tr>
        <w:trPr/>
        <w:tc>
          <w:tcPr>
            <w:tcW w:w="2500" w:type="dxa"/>
            <w:shd w:val="clear" w:fill="D9D9D9"/>
          </w:tcPr>
          <w:p>
            <w:pPr/>
            <w:r>
              <w:rPr/>
              <w:t xml:space="preserve">Stecker Typ</w:t>
            </w:r>
          </w:p>
        </w:tc>
        <w:tc>
          <w:tcPr>
            <w:tcW w:w="7500" w:type="dxa"/>
          </w:tcPr>
          <w:p>
            <w:pPr/>
            <w:r>
              <w:rPr/>
              <w:t xml:space="preserve">SC APC Duplex</w:t>
            </w:r>
          </w:p>
        </w:tc>
      </w:tr>
      <w:tr>
        <w:trPr/>
        <w:tc>
          <w:tcPr>
            <w:tcW w:w="2500" w:type="dxa"/>
            <w:shd w:val="clear" w:fill="D9D9D9"/>
          </w:tcPr>
          <w:p>
            <w:pPr/>
            <w:r>
              <w:rPr/>
              <w:t xml:space="preserve">Gehäuse</w:t>
            </w:r>
          </w:p>
        </w:tc>
        <w:tc>
          <w:tcPr>
            <w:tcW w:w="7500" w:type="dxa"/>
          </w:tcPr>
          <w:p>
            <w:pPr/>
            <w:r>
              <w:rPr/>
              <w:t xml:space="preserve">Kunststoff, Grün</w:t>
            </w:r>
          </w:p>
        </w:tc>
      </w:tr>
      <w:tr>
        <w:trPr/>
        <w:tc>
          <w:tcPr>
            <w:tcW w:w="2500" w:type="dxa"/>
            <w:shd w:val="clear" w:fill="D9D9D9"/>
          </w:tcPr>
          <w:p>
            <w:pPr/>
            <w:r>
              <w:rPr/>
              <w:t xml:space="preserve">Ferrule</w:t>
            </w:r>
          </w:p>
        </w:tc>
        <w:tc>
          <w:tcPr>
            <w:tcW w:w="7500" w:type="dxa"/>
          </w:tcPr>
          <w:p>
            <w:pPr/>
            <w:r>
              <w:rPr/>
              <w:t xml:space="preserve">Keramik, Axial gefedert</w:t>
            </w:r>
          </w:p>
        </w:tc>
      </w:tr>
      <w:tr>
        <w:trPr/>
        <w:tc>
          <w:tcPr>
            <w:tcW w:w="2500" w:type="dxa"/>
            <w:shd w:val="clear" w:fill="D9D9D9"/>
          </w:tcPr>
          <w:p>
            <w:pPr/>
            <w:r>
              <w:rPr/>
              <w:t xml:space="preserve">Ferrul-Bohrung</w:t>
            </w:r>
          </w:p>
        </w:tc>
        <w:tc>
          <w:tcPr>
            <w:tcW w:w="7500" w:type="dxa"/>
          </w:tcPr>
          <w:p>
            <w:pPr/>
            <w:r>
              <w:rPr/>
              <w:t xml:space="preserve">125.5 µ</w:t>
            </w:r>
          </w:p>
        </w:tc>
      </w:tr>
      <w:tr>
        <w:trPr/>
        <w:tc>
          <w:tcPr>
            <w:tcW w:w="2500" w:type="dxa"/>
            <w:shd w:val="clear" w:fill="D9D9D9"/>
          </w:tcPr>
          <w:p>
            <w:pPr/>
            <w:r>
              <w:rPr/>
              <w:t xml:space="preserve">Ferrul-Konzentrizität</w:t>
            </w:r>
          </w:p>
        </w:tc>
        <w:tc>
          <w:tcPr>
            <w:tcW w:w="7500" w:type="dxa"/>
          </w:tcPr>
          <w:p>
            <w:pPr/>
            <w:r>
              <w:rPr/>
              <w:t xml:space="preserve">≤ 0.6 µ</w:t>
            </w:r>
          </w:p>
        </w:tc>
      </w:tr>
      <w:tr>
        <w:trPr/>
        <w:tc>
          <w:tcPr>
            <w:tcW w:w="2500" w:type="dxa"/>
            <w:shd w:val="clear" w:fill="D9D9D9"/>
          </w:tcPr>
          <w:p>
            <w:pPr/>
            <w:r>
              <w:rPr/>
              <w:t xml:space="preserve">Steckzyklen</w:t>
            </w:r>
          </w:p>
        </w:tc>
        <w:tc>
          <w:tcPr>
            <w:tcW w:w="7500" w:type="dxa"/>
          </w:tcPr>
          <w:p>
            <w:pPr/>
            <w:r>
              <w:rPr/>
              <w:t xml:space="preserve">500</w:t>
            </w:r>
          </w:p>
        </w:tc>
      </w:tr>
      <w:tr>
        <w:trPr/>
        <w:tc>
          <w:tcPr>
            <w:tcW w:w="2500" w:type="dxa"/>
            <w:shd w:val="clear" w:fill="D9D9D9"/>
          </w:tcPr>
          <w:p>
            <w:pPr/>
            <w:r>
              <w:rPr/>
              <w:t xml:space="preserve">Betriebstemperatur</w:t>
            </w:r>
          </w:p>
        </w:tc>
        <w:tc>
          <w:tcPr>
            <w:tcW w:w="7500" w:type="dxa"/>
          </w:tcPr>
          <w:p>
            <w:pPr/>
            <w:r>
              <w:rPr/>
              <w:t xml:space="preserve">-40°C bis +75°C</w:t>
            </w:r>
          </w:p>
        </w:tc>
      </w:tr>
      <w:tr>
        <w:trPr/>
        <w:tc>
          <w:tcPr>
            <w:tcW w:w="2500" w:type="dxa"/>
            <w:shd w:val="clear" w:fill="D9D9D9"/>
          </w:tcPr>
          <w:p>
            <w:pPr/>
            <w:r>
              <w:rPr/>
              <w:t xml:space="preserve">Zugentlastung bis</w:t>
            </w:r>
          </w:p>
        </w:tc>
        <w:tc>
          <w:tcPr>
            <w:tcW w:w="7500" w:type="dxa"/>
          </w:tcPr>
          <w:p>
            <w:pPr/>
            <w:r>
              <w:rPr/>
              <w:t xml:space="preserve">150 N</w:t>
            </w:r>
          </w:p>
        </w:tc>
      </w:tr>
      <w:tr>
        <w:trPr/>
        <w:tc>
          <w:tcPr>
            <w:tcW w:w="2500" w:type="dxa"/>
            <w:shd w:val="clear" w:fill="D9D9D9"/>
          </w:tcPr>
          <w:p>
            <w:pPr/>
            <w:r>
              <w:rPr/>
              <w:t xml:space="preserve">Hersteller</w:t>
            </w:r>
          </w:p>
        </w:tc>
        <w:tc>
          <w:tcPr>
            <w:tcW w:w="7500" w:type="dxa"/>
          </w:tcPr>
          <w:p>
            <w:pPr/>
            <w:r>
              <w:rPr/>
              <w:t xml:space="preserve">tde</w:t>
            </w:r>
          </w:p>
        </w:tc>
      </w:tr>
      <w:tr>
        <w:trPr/>
        <w:tc>
          <w:tcPr>
            <w:tcW w:w="2500" w:type="dxa"/>
            <w:shd w:val="clear" w:fill="D9D9D9"/>
          </w:tcPr>
          <w:p>
            <w:pPr/>
            <w:r>
              <w:rPr/>
              <w:t xml:space="preserve">Simplex- /Duplexklammer</w:t>
            </w:r>
          </w:p>
        </w:tc>
        <w:tc>
          <w:tcPr>
            <w:tcW w:w="7500" w:type="dxa"/>
          </w:tcPr>
          <w:p>
            <w:pPr/>
            <w:r>
              <w:rPr/>
              <w:t xml:space="preserve">mit Duplexklammer</w:t>
            </w:r>
          </w:p>
        </w:tc>
      </w:tr>
    </w:tbl>
    <w:p>
      <w:pPr/>
      <w:r>
        <w:rPr/>
        <w:t xml:space="preserve"/>
      </w:r>
    </w:p>
    <w:tbl>
      <w:tblGrid>
        <w:gridCol/>
        <w:gridCol/>
        <w:gridCol/>
        <w:gridCol/>
        <w:gridCol/>
        <w:gridCol/>
      </w:tblGrid>
      <w:tblPr>
        <w:jc w:val="center"/>
        <w:tblW w:w="5000" w:type="pct"/>
        <w:tblLayout w:type="autofit"/>
        <w:tblCellMar>
          <w:top w:w="50" w:type="dxa"/>
          <w:left w:w="50" w:type="dxa"/>
          <w:right w:w="50" w:type="dxa"/>
          <w:bottom w:w="50" w:type="dxa"/>
        </w:tblCellMar>
        <w:tblBorders>
          <w:top w:val="single" w:sz="6" w:color="666666"/>
          <w:left w:val="single" w:sz="6" w:color="666666"/>
          <w:right w:val="single" w:sz="6" w:color="666666"/>
          <w:bottom w:val="single" w:sz="6" w:color="666666"/>
          <w:insideH w:val="single" w:sz="6" w:color="666666"/>
          <w:insideV w:val="single" w:sz="6" w:color="666666"/>
        </w:tblBorders>
      </w:tblPr>
      <w:tr>
        <w:trPr/>
        <w:tc>
          <w:tcPr>
            <w:shd w:val="clear" w:fill="D9D9D9"/>
          </w:tcPr>
          <w:p>
            <w:pPr/>
            <w:r>
              <w:rPr/>
              <w:t xml:space="preserve">Faser</w:t>
            </w:r>
          </w:p>
        </w:tc>
        <w:tc>
          <w:tcPr>
            <w:shd w:val="clear" w:fill="D9D9D9"/>
          </w:tcPr>
          <w:p>
            <w:pPr/>
            <w:r>
              <w:rPr/>
              <w:t xml:space="preserve">Typ</w:t>
            </w:r>
          </w:p>
        </w:tc>
        <w:tc>
          <w:tcPr>
            <w:shd w:val="clear" w:fill="D9D9D9"/>
          </w:tcPr>
          <w:p>
            <w:pPr/>
            <w:r>
              <w:rPr/>
              <w:t xml:space="preserve">Wellenlänge</w:t>
            </w:r>
          </w:p>
        </w:tc>
        <w:tc>
          <w:tcPr>
            <w:shd w:val="clear" w:fill="D9D9D9"/>
          </w:tcPr>
          <w:p>
            <w:pPr/>
            <w:r>
              <w:rPr/>
              <w:t xml:space="preserve">Einfügedämpfung min.</w:t>
            </w:r>
          </w:p>
        </w:tc>
        <w:tc>
          <w:tcPr>
            <w:shd w:val="clear" w:fill="D9D9D9"/>
          </w:tcPr>
          <w:p>
            <w:pPr/>
            <w:r>
              <w:rPr/>
              <w:t xml:space="preserve">Einfügedämpfung max.</w:t>
            </w:r>
          </w:p>
        </w:tc>
        <w:tc>
          <w:tcPr>
            <w:shd w:val="clear" w:fill="D9D9D9"/>
          </w:tcPr>
          <w:p>
            <w:pPr/>
            <w:r>
              <w:rPr/>
              <w:t xml:space="preserve">Rückflussdämpfung min.</w:t>
            </w:r>
          </w:p>
        </w:tc>
      </w:tr>
      <w:tr>
        <w:trPr/>
        <w:tc>
          <w:tcPr/>
          <w:p>
            <w:pPr/>
            <w:r>
              <w:rPr/>
              <w:t xml:space="preserve">9/125µ OS2</w:t>
            </w:r>
          </w:p>
        </w:tc>
        <w:tc>
          <w:tcPr/>
          <w:p>
            <w:pPr/>
            <w:r>
              <w:rPr/>
              <w:t xml:space="preserve">SC APC</w:t>
            </w:r>
          </w:p>
        </w:tc>
        <w:tc>
          <w:tcPr/>
          <w:p>
            <w:pPr/>
            <w:r>
              <w:rPr/>
              <w:t xml:space="preserve">1550 nm</w:t>
            </w:r>
          </w:p>
        </w:tc>
        <w:tc>
          <w:tcPr/>
          <w:p>
            <w:pPr/>
            <w:r>
              <w:rPr/>
              <w:t xml:space="preserve">&lt; 0.20 dB</w:t>
            </w:r>
          </w:p>
        </w:tc>
        <w:tc>
          <w:tcPr/>
          <w:p>
            <w:pPr/>
            <w:r>
              <w:rPr/>
              <w:t xml:space="preserve">0.45 dB</w:t>
            </w:r>
          </w:p>
        </w:tc>
        <w:tc>
          <w:tcPr/>
          <w:p>
            <w:pPr/>
            <w:r>
              <w:rPr/>
              <w:t xml:space="preserve">70 dB</w:t>
            </w:r>
          </w:p>
        </w:tc>
      </w:tr>
    </w:tbl>
    <w:p>
      <w:pPr/>
      <w:r>
        <w:rPr/>
        <w:t xml:space="preserve"/>
      </w:r>
    </w:p>
    <w:p>
      <w:pPr/>
      <w:r>
        <w:rPr/>
        <w:t xml:space="preserve">***LWL Kabel
</w:t>
      </w:r>
    </w:p>
    <w:p>
      <w:pPr/>
      <w:r>
        <w:rPr/>
        <w:t xml:space="preserve"/>
      </w:r>
    </w:p>
    <w:tbl>
      <w:tblGrid>
        <w:gridCol w:w="2500" w:type="dxa"/>
        <w:gridCol w:w="7500" w:type="dxa"/>
      </w:tblGrid>
      <w:tblPr>
        <w:jc w:val="center"/>
        <w:tblW w:w="5000" w:type="pct"/>
        <w:tblLayout w:type="autofit"/>
        <w:tblCellMar>
          <w:top w:w="50" w:type="dxa"/>
          <w:left w:w="50" w:type="dxa"/>
          <w:right w:w="50" w:type="dxa"/>
          <w:bottom w:w="50" w:type="dxa"/>
        </w:tblCellMar>
        <w:tblBorders>
          <w:top w:val="single" w:sz="6" w:color="666666"/>
          <w:left w:val="single" w:sz="6" w:color="666666"/>
          <w:right w:val="single" w:sz="6" w:color="666666"/>
          <w:bottom w:val="single" w:sz="6" w:color="666666"/>
          <w:insideH w:val="single" w:sz="6" w:color="666666"/>
          <w:insideV w:val="single" w:sz="6" w:color="666666"/>
        </w:tblBorders>
      </w:tblPr>
      <w:tr>
        <w:trPr/>
        <w:tc>
          <w:tcPr>
            <w:tcW w:w="2500" w:type="dxa"/>
            <w:shd w:val="clear" w:fill="D9D9D9"/>
          </w:tcPr>
          <w:p>
            <w:pPr/>
            <w:r>
              <w:rPr/>
              <w:t xml:space="preserve">Flammwidrigkeit</w:t>
            </w:r>
          </w:p>
        </w:tc>
        <w:tc>
          <w:tcPr>
            <w:tcW w:w="7500" w:type="dxa"/>
          </w:tcPr>
          <w:p>
            <w:pPr/>
            <w:r>
              <w:rPr/>
              <w:t xml:space="preserve">IEC 60332-3</w:t>
            </w:r>
          </w:p>
        </w:tc>
      </w:tr>
      <w:tr>
        <w:trPr/>
        <w:tc>
          <w:tcPr>
            <w:tcW w:w="2500" w:type="dxa"/>
            <w:shd w:val="clear" w:fill="D9D9D9"/>
          </w:tcPr>
          <w:p>
            <w:pPr/>
            <w:r>
              <w:rPr/>
              <w:t xml:space="preserve"> </w:t>
            </w:r>
          </w:p>
        </w:tc>
        <w:tc>
          <w:tcPr>
            <w:tcW w:w="7500" w:type="dxa"/>
          </w:tcPr>
          <w:p>
            <w:pPr/>
            <w:r>
              <w:rPr/>
              <w:t xml:space="preserve">IEC 60754</w:t>
            </w:r>
          </w:p>
        </w:tc>
      </w:tr>
      <w:tr>
        <w:trPr/>
        <w:tc>
          <w:tcPr>
            <w:tcW w:w="2500" w:type="dxa"/>
            <w:shd w:val="clear" w:fill="D9D9D9"/>
          </w:tcPr>
          <w:p>
            <w:pPr/>
            <w:r>
              <w:rPr/>
              <w:t xml:space="preserve"> </w:t>
            </w:r>
          </w:p>
        </w:tc>
        <w:tc>
          <w:tcPr>
            <w:tcW w:w="7500" w:type="dxa"/>
          </w:tcPr>
          <w:p>
            <w:pPr/>
            <w:r>
              <w:rPr/>
              <w:t xml:space="preserve">IEC 61034-1</w:t>
            </w:r>
          </w:p>
        </w:tc>
      </w:tr>
      <w:tr>
        <w:trPr/>
        <w:tc>
          <w:tcPr>
            <w:tcW w:w="2500" w:type="dxa"/>
            <w:shd w:val="clear" w:fill="D9D9D9"/>
          </w:tcPr>
          <w:p>
            <w:pPr/>
            <w:r>
              <w:rPr/>
              <w:t xml:space="preserve"> </w:t>
            </w:r>
          </w:p>
        </w:tc>
        <w:tc>
          <w:tcPr>
            <w:tcW w:w="7500" w:type="dxa"/>
          </w:tcPr>
          <w:p>
            <w:pPr/>
            <w:r>
              <w:rPr/>
              <w:t xml:space="preserve">IEC 61034-2</w:t>
            </w:r>
          </w:p>
        </w:tc>
      </w:tr>
    </w:tbl>
    <w:p>
      <w:pPr/>
      <w:r>
        <w:rPr/>
        <w:t xml:space="preserve"/>
      </w:r>
    </w:p>
    <w:tbl>
      <w:tblGrid>
        <w:gridCol w:w="2500" w:type="dxa"/>
        <w:gridCol w:w="7500" w:type="dxa"/>
      </w:tblGrid>
      <w:tblPr>
        <w:jc w:val="center"/>
        <w:tblW w:w="5000" w:type="pct"/>
        <w:tblLayout w:type="autofit"/>
        <w:tblCellMar>
          <w:top w:w="50" w:type="dxa"/>
          <w:left w:w="50" w:type="dxa"/>
          <w:right w:w="50" w:type="dxa"/>
          <w:bottom w:w="50" w:type="dxa"/>
        </w:tblCellMar>
        <w:tblBorders>
          <w:top w:val="single" w:sz="6" w:color="666666"/>
          <w:left w:val="single" w:sz="6" w:color="666666"/>
          <w:right w:val="single" w:sz="6" w:color="666666"/>
          <w:bottom w:val="single" w:sz="6" w:color="666666"/>
          <w:insideH w:val="single" w:sz="6" w:color="666666"/>
          <w:insideV w:val="single" w:sz="6" w:color="666666"/>
        </w:tblBorders>
      </w:tblPr>
      <w:tr>
        <w:trPr/>
        <w:tc>
          <w:tcPr>
            <w:tcW w:w="2500" w:type="dxa"/>
            <w:shd w:val="clear" w:fill="D9D9D9"/>
          </w:tcPr>
          <w:p>
            <w:pPr/>
            <w:r>
              <w:rPr/>
              <w:t xml:space="preserve">Typ</w:t>
            </w:r>
          </w:p>
        </w:tc>
        <w:tc>
          <w:tcPr>
            <w:tcW w:w="7500" w:type="dxa"/>
          </w:tcPr>
          <w:p>
            <w:pPr/>
            <w:r>
              <w:rPr/>
              <w:t xml:space="preserve">IVH02E9</w:t>
            </w:r>
          </w:p>
        </w:tc>
      </w:tr>
      <w:tr>
        <w:trPr/>
        <w:tc>
          <w:tcPr>
            <w:tcW w:w="2500" w:type="dxa"/>
            <w:shd w:val="clear" w:fill="D9D9D9"/>
          </w:tcPr>
          <w:p>
            <w:pPr/>
            <w:r>
              <w:rPr/>
              <w:t xml:space="preserve">Festader</w:t>
            </w:r>
          </w:p>
        </w:tc>
        <w:tc>
          <w:tcPr>
            <w:tcW w:w="7500" w:type="dxa"/>
          </w:tcPr>
          <w:p>
            <w:pPr/>
            <w:r>
              <w:rPr/>
              <w:t xml:space="preserve">2x 900µ gebufferte Fasern (frei beweglich)</w:t>
            </w:r>
          </w:p>
        </w:tc>
      </w:tr>
      <w:tr>
        <w:trPr/>
        <w:tc>
          <w:tcPr>
            <w:tcW w:w="2500" w:type="dxa"/>
            <w:shd w:val="clear" w:fill="D9D9D9"/>
          </w:tcPr>
          <w:p>
            <w:pPr/>
            <w:r>
              <w:rPr/>
              <w:t xml:space="preserve">Fasertyp</w:t>
            </w:r>
          </w:p>
        </w:tc>
        <w:tc>
          <w:tcPr>
            <w:tcW w:w="7500" w:type="dxa"/>
          </w:tcPr>
          <w:p>
            <w:pPr/>
            <w:r>
              <w:rPr/>
              <w:t xml:space="preserve">SM 9/125µ, Corning G.657.A1 Ultra Fiber</w:t>
            </w:r>
          </w:p>
        </w:tc>
      </w:tr>
      <w:tr>
        <w:trPr/>
        <w:tc>
          <w:tcPr>
            <w:tcW w:w="2500" w:type="dxa"/>
            <w:shd w:val="clear" w:fill="D9D9D9"/>
          </w:tcPr>
          <w:p>
            <w:pPr/>
            <w:r>
              <w:rPr/>
              <w:t xml:space="preserve">Zugentlastung</w:t>
            </w:r>
          </w:p>
        </w:tc>
        <w:tc>
          <w:tcPr>
            <w:tcW w:w="7500" w:type="dxa"/>
          </w:tcPr>
          <w:p>
            <w:pPr/>
            <w:r>
              <w:rPr/>
              <w:t xml:space="preserve">Aramid Garn (frei beweglich)</w:t>
            </w:r>
          </w:p>
        </w:tc>
      </w:tr>
      <w:tr>
        <w:trPr/>
        <w:tc>
          <w:tcPr>
            <w:tcW w:w="2500" w:type="dxa"/>
            <w:shd w:val="clear" w:fill="D9D9D9"/>
          </w:tcPr>
          <w:p>
            <w:pPr/>
            <w:r>
              <w:rPr/>
              <w:t xml:space="preserve">Außenmantel</w:t>
            </w:r>
          </w:p>
        </w:tc>
        <w:tc>
          <w:tcPr>
            <w:tcW w:w="7500" w:type="dxa"/>
          </w:tcPr>
          <w:p>
            <w:pPr/>
            <w:r>
              <w:rPr/>
              <w:t xml:space="preserve">LSZH (Halogenfrei, geringe Rauchentwicklung, Flammwidrig)</w:t>
            </w:r>
          </w:p>
        </w:tc>
      </w:tr>
      <w:tr>
        <w:trPr/>
        <w:tc>
          <w:tcPr>
            <w:tcW w:w="2500" w:type="dxa"/>
            <w:shd w:val="clear" w:fill="D9D9D9"/>
          </w:tcPr>
          <w:p>
            <w:pPr/>
            <w:r>
              <w:rPr/>
              <w:t xml:space="preserve">Mantelfarbe</w:t>
            </w:r>
          </w:p>
        </w:tc>
        <w:tc>
          <w:tcPr>
            <w:tcW w:w="7500" w:type="dxa"/>
          </w:tcPr>
          <w:p>
            <w:pPr/>
            <w:r>
              <w:rPr/>
              <w:t xml:space="preserve">Gelb, RAL 1021</w:t>
            </w:r>
          </w:p>
        </w:tc>
      </w:tr>
      <w:tr>
        <w:trPr/>
        <w:tc>
          <w:tcPr>
            <w:tcW w:w="2500" w:type="dxa"/>
            <w:shd w:val="clear" w:fill="D9D9D9"/>
          </w:tcPr>
          <w:p>
            <w:pPr/>
            <w:r>
              <w:rPr/>
              <w:t xml:space="preserve">Standardaufdruck</w:t>
            </w:r>
          </w:p>
        </w:tc>
        <w:tc>
          <w:tcPr>
            <w:tcW w:w="7500" w:type="dxa"/>
          </w:tcPr>
          <w:p>
            <w:pPr/>
            <w:r>
              <w:rPr/>
              <w:t xml:space="preserve">"t d e – IVH02E09 - 2.4mm Ultra LSZH" und fortlaufende Meter-Markierung + Chargennummer</w:t>
            </w:r>
          </w:p>
        </w:tc>
      </w:tr>
    </w:tbl>
    <w:p>
      <w:pPr/>
      <w:r>
        <w:rPr/>
        <w:t xml:space="preserve"/>
      </w:r>
    </w:p>
    <w:tbl>
      <w:tblGrid>
        <w:gridCol w:w="2500" w:type="dxa"/>
        <w:gridCol w:w="7500" w:type="dxa"/>
      </w:tblGrid>
      <w:tblPr>
        <w:jc w:val="center"/>
        <w:tblW w:w="5000" w:type="pct"/>
        <w:tblLayout w:type="autofit"/>
        <w:tblCellMar>
          <w:top w:w="50" w:type="dxa"/>
          <w:left w:w="50" w:type="dxa"/>
          <w:right w:w="50" w:type="dxa"/>
          <w:bottom w:w="50" w:type="dxa"/>
        </w:tblCellMar>
        <w:tblBorders>
          <w:top w:val="single" w:sz="6" w:color="666666"/>
          <w:left w:val="single" w:sz="6" w:color="666666"/>
          <w:right w:val="single" w:sz="6" w:color="666666"/>
          <w:bottom w:val="single" w:sz="6" w:color="666666"/>
          <w:insideH w:val="single" w:sz="6" w:color="666666"/>
          <w:insideV w:val="single" w:sz="6" w:color="666666"/>
        </w:tblBorders>
      </w:tblPr>
      <w:tr>
        <w:trPr/>
        <w:tc>
          <w:tcPr>
            <w:tcW w:w="2500" w:type="dxa"/>
            <w:shd w:val="clear" w:fill="D9D9D9"/>
          </w:tcPr>
          <w:p>
            <w:pPr/>
            <w:r>
              <w:rPr/>
              <w:t xml:space="preserve">Außendurchmesser Kabel</w:t>
            </w:r>
          </w:p>
        </w:tc>
        <w:tc>
          <w:tcPr>
            <w:tcW w:w="7500" w:type="dxa"/>
          </w:tcPr>
          <w:p>
            <w:pPr/>
            <w:r>
              <w:rPr/>
              <w:t xml:space="preserve">2x 2.4 ± 0.1 mm</w:t>
            </w:r>
          </w:p>
        </w:tc>
      </w:tr>
      <w:tr>
        <w:trPr/>
        <w:tc>
          <w:tcPr>
            <w:tcW w:w="2500" w:type="dxa"/>
            <w:shd w:val="clear" w:fill="D9D9D9"/>
          </w:tcPr>
          <w:p>
            <w:pPr/>
            <w:r>
              <w:rPr/>
              <w:t xml:space="preserve">Temperaturbereich</w:t>
            </w:r>
          </w:p>
        </w:tc>
        <w:tc>
          <w:tcPr>
            <w:tcW w:w="7500" w:type="dxa"/>
          </w:tcPr>
          <w:p>
            <w:pPr/>
            <w:r>
              <w:rPr/>
              <w:t xml:space="preserve">-20°C bis +70°C</w:t>
            </w:r>
          </w:p>
        </w:tc>
      </w:tr>
    </w:tbl>
    <w:p>
      <w:pPr/>
      <w:r>
        <w:rPr/>
        <w:t xml:space="preserve"/>
      </w:r>
    </w:p>
    <w:sectPr>
      <w:headerReference w:type="default" r:id="rId7"/>
      <w:head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t xml:space="preserve">Liefern und montieren von L-FCA/SCA09Dxxxxx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head-left">
    <w:name w:val="head-left"/>
    <w:uiPriority w:val="99"/>
    <w:tblPr>
      <w:jc w:val="center"/>
      <w:tblW w:w="5000" w:type="pct"/>
      <w:tblLayout w:type="autofit"/>
      <w:tblCellMar>
        <w:top w:w="50" w:type="dxa"/>
        <w:left w:w="50" w:type="dxa"/>
        <w:right w:w="50" w:type="dxa"/>
        <w:bottom w:w="50" w:type="dxa"/>
      </w:tblCellMar>
      <w:tblBorders>
        <w:top w:val="single" w:sz="6" w:color="666666"/>
        <w:left w:val="single" w:sz="6" w:color="666666"/>
        <w:right w:val="single" w:sz="6" w:color="666666"/>
        <w:bottom w:val="single" w:sz="6" w:color="666666"/>
        <w:insideH w:val="single" w:sz="6" w:color="666666"/>
        <w:insideV w:val="single" w:sz="6" w:color="666666"/>
      </w:tblBorders>
    </w:tblPr>
  </w:style>
  <w:style w:type="table" w:customStyle="1" w:styleId="head-top">
    <w:name w:val="head-top"/>
    <w:uiPriority w:val="99"/>
    <w:tblPr>
      <w:jc w:val="center"/>
      <w:tblW w:w="5000" w:type="pct"/>
      <w:tblLayout w:type="autofit"/>
      <w:tblCellMar>
        <w:top w:w="50" w:type="dxa"/>
        <w:left w:w="50" w:type="dxa"/>
        <w:right w:w="50" w:type="dxa"/>
        <w:bottom w:w="50" w:type="dxa"/>
      </w:tblCellMar>
      <w:tblBorders>
        <w:top w:val="single" w:sz="6" w:color="666666"/>
        <w:left w:val="single" w:sz="6" w:color="666666"/>
        <w:right w:val="single" w:sz="6" w:color="666666"/>
        <w:bottom w:val="single" w:sz="6" w:color="666666"/>
        <w:insideH w:val="single" w:sz="6" w:color="666666"/>
        <w:insideV w:val="single" w:sz="6" w:color="666666"/>
      </w:tblBorders>
    </w:tblPr>
    <w:tblStylePr w:type="firstRow">
      <w:tcPr>
        <w:tcPr>
          <w:shd w:val="clear" w:fill="D9D9D9"/>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2025-12-17T10:05:13+00:00</dcterms:created>
  <dcterms:modified xsi:type="dcterms:W3CDTF">2025-12-17T10:05:13+00:00</dcterms:modified>
</cp:coreProperties>
</file>

<file path=docProps/custom.xml><?xml version="1.0" encoding="utf-8"?>
<Properties xmlns="http://schemas.openxmlformats.org/officeDocument/2006/custom-properties" xmlns:vt="http://schemas.openxmlformats.org/officeDocument/2006/docPropsVTypes"/>
</file>