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1000BASE-ZX GBIC Modul SM SC 80km Datenreichweite (1550nm)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**GBIC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1.25Gbps
• 1550nm DFB Transmitter
• Entfernung bis zu 80km
• 3.3/5V Stromversorgung und TTL Schnittstelle
• SC Duplex Stecker
• Unter Spannung ansteckbar
• Gehäusetemperatur bei Betrieb
  Standard: 0°C~+70°C 
  Industrie: -40°C~+85°C
• Konform mit GBIC Spezifikation Rev. 5.5
Anwendungen
• WDM Fast Ethernet Verbindungen
• SONET/SDH Verbindungen
• Faser Verbindungskanäle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TA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4.75 3.15</w:t>
            </w:r>
          </w:p>
        </w:tc>
        <w:tc>
          <w:tcPr/>
          <w:p>
            <w:pPr/>
            <w:r>
              <w:rPr/>
              <w:t xml:space="preserve">5 3.3</w:t>
            </w:r>
          </w:p>
        </w:tc>
        <w:tc>
          <w:tcPr/>
          <w:p>
            <w:pPr/>
            <w:r>
              <w:rPr/>
              <w:t xml:space="preserve">5.25 3.45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GBaud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0,5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9μm Core Diameter SMF 15454-GBIC-ZX-AS</w:t>
            </w:r>
          </w:p>
        </w:tc>
        <w:tc>
          <w:tcPr/>
          <w:p>
            <w:pPr/>
            <w:r>
              <w:rPr/>
              <w:t xml:space="preserve">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80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1500</w:t>
            </w:r>
          </w:p>
        </w:tc>
        <w:tc>
          <w:tcPr/>
          <w:p>
            <w:pPr/>
            <w:r>
              <w:rPr/>
              <w:t xml:space="preserve">1550</w:t>
            </w:r>
          </w:p>
        </w:tc>
        <w:tc>
          <w:tcPr/>
          <w:p>
            <w:pPr/>
            <w:r>
              <w:rPr/>
              <w:t xml:space="preserve">1580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 0ut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260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 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-24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TDE-15454-GBIC-ZX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2025-02-28T21:28:32+00:00</dcterms:created>
  <dcterms:modified xsi:type="dcterms:W3CDTF">2025-02-28T21:28:32+00:00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