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 LWL Fanout Kabel MPO/MTP® m. Pins/ 6x LC Duplex 12G50/125µ OM3 LSOH, Länge: xx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 LWL Fan out Kabel
</w:t>
      </w:r>
    </w:p>
    <w:p>
      <w:pPr/>
      <w:r>
        <w:rPr/>
        <w:t xml:space="preserve">Das tML®– LWL Fanout Kabel MPO/MTP®m. Pins ist für den Einsatz mit tML® - LWL Trunkkabeln vorgesehen.
</w:t>
      </w:r>
    </w:p>
    <w:p>
      <w:pPr/>
      <w:r>
        <w:rPr/>
        <w:t xml:space="preserve">**TECHNISCHE_DATEN
</w:t>
      </w:r>
    </w:p>
    <w:p>
      <w:pPr/>
      <w:r>
        <w:rPr/>
        <w:t xml:space="preserve">Die Endflächen der Steckverbinder sind mittels Lasercleaving und Maschinenpolitur optimiert. Die MPO/MTP®Stecker besitzen einen definierten Faserüberstand von 1 - 3.5µ. Die Max. Höhendifferenz benachbarter Fasern beträgt 0.2µm und die aller Fasern 0.3µm. Alle Systemkomponenten (Fanout Kabel bzw. Module, Trunkkabel und Patchkabel) sind zur Erreichung der Performance speziell aufeinander abgestimmt. Das Fanoutkabel ist beschriftet mit fortlaufender Seriennummer und Artikelnummer.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Kabel</w:t>
            </w:r>
          </w:p>
        </w:tc>
        <w:tc>
          <w:tcPr>
            <w:tcW w:w="7500" w:type="dxa"/>
          </w:tcPr>
          <w:p>
            <w:pPr/>
            <w:r>
              <w:rPr/>
              <w:t xml:space="preserve">Rundkabel 3mm Durchmesser, Bündeladerkonstruktion, LSOH, aqua</w:t>
            </w:r>
          </w:p>
        </w:tc>
      </w:tr>
      <w:tr>
        <w:trPr/>
        <w:tc>
          <w:tcPr>
            <w:tcW w:w="2500" w:type="dxa"/>
            <w:shd w:val="clear" w:fill="D9D9D9"/>
          </w:tcPr>
          <w:p>
            <w:pPr/>
            <w:r>
              <w:rPr/>
              <w:t xml:space="preserve">Aufteilerkopf</w:t>
            </w:r>
          </w:p>
        </w:tc>
        <w:tc>
          <w:tcPr>
            <w:tcW w:w="7500" w:type="dxa"/>
          </w:tcPr>
          <w:p>
            <w:pPr/>
            <w:r>
              <w:rPr/>
              <w:t xml:space="preserve">Metall</w:t>
            </w:r>
          </w:p>
        </w:tc>
      </w:tr>
      <w:tr>
        <w:trPr/>
        <w:tc>
          <w:tcPr>
            <w:tcW w:w="2500" w:type="dxa"/>
            <w:shd w:val="clear" w:fill="D9D9D9"/>
          </w:tcPr>
          <w:p>
            <w:pPr/>
            <w:r>
              <w:rPr/>
              <w:t xml:space="preserve">Eingang</w:t>
            </w:r>
          </w:p>
        </w:tc>
        <w:tc>
          <w:tcPr>
            <w:tcW w:w="7500" w:type="dxa"/>
          </w:tcPr>
          <w:p>
            <w:pPr/>
            <w:r>
              <w:rPr/>
              <w:t xml:space="preserve">MPO/MTP®Male Push Pull Verriegelung (aqua)</w:t>
            </w:r>
          </w:p>
        </w:tc>
      </w:tr>
      <w:tr>
        <w:trPr/>
        <w:tc>
          <w:tcPr>
            <w:tcW w:w="2500" w:type="dxa"/>
            <w:shd w:val="clear" w:fill="D9D9D9"/>
          </w:tcPr>
          <w:p>
            <w:pPr/>
            <w:r>
              <w:rPr/>
              <w:t xml:space="preserve">Ausgang</w:t>
            </w:r>
          </w:p>
        </w:tc>
        <w:tc>
          <w:tcPr>
            <w:tcW w:w="7500" w:type="dxa"/>
          </w:tcPr>
          <w:p>
            <w:pPr/>
            <w:r>
              <w:rPr/>
              <w:t xml:space="preserve">6 x LC Duplex Stecker (aqua)</w:t>
            </w:r>
          </w:p>
        </w:tc>
      </w:tr>
      <w:tr>
        <w:trPr/>
        <w:tc>
          <w:tcPr>
            <w:tcW w:w="2500" w:type="dxa"/>
            <w:shd w:val="clear" w:fill="D9D9D9"/>
          </w:tcPr>
          <w:p>
            <w:pPr/>
            <w:r>
              <w:rPr/>
              <w:t xml:space="preserve">Belegung</w:t>
            </w:r>
          </w:p>
        </w:tc>
        <w:tc>
          <w:tcPr>
            <w:tcW w:w="7500" w:type="dxa"/>
          </w:tcPr>
          <w:p>
            <w:pPr/>
            <w:r>
              <w:rPr/>
              <w:t xml:space="preserve">paarweise gedreht nach TIA/EIA-568-B.1 Methode C</w:t>
            </w:r>
          </w:p>
        </w:tc>
      </w:tr>
      <w:tr>
        <w:trPr/>
        <w:tc>
          <w:tcPr>
            <w:tcW w:w="2500" w:type="dxa"/>
            <w:shd w:val="clear" w:fill="D9D9D9"/>
          </w:tcPr>
          <w:p>
            <w:pPr/>
            <w:r>
              <w:rPr/>
              <w:t xml:space="preserve">Tests</w:t>
            </w:r>
          </w:p>
        </w:tc>
        <w:tc>
          <w:tcPr>
            <w:tcW w:w="7500" w:type="dxa"/>
          </w:tcPr>
          <w:p>
            <w:pPr/>
            <w:r>
              <w:rPr/>
              <w:t xml:space="preserve">Interferometermessung, Einfüge- und Rückflußdämpfungsmessungen und visuelle Endkontrolle; alle Messwerte sind elektronisch abrufbar</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LC Unibody Duplex</w:t>
            </w:r>
          </w:p>
        </w:tc>
      </w:tr>
      <w:tr>
        <w:trPr/>
        <w:tc>
          <w:tcPr>
            <w:tcW w:w="2500" w:type="dxa"/>
            <w:shd w:val="clear" w:fill="D9D9D9"/>
          </w:tcPr>
          <w:p>
            <w:pPr/>
            <w:r>
              <w:rPr/>
              <w:t xml:space="preserve">Gehäuse</w:t>
            </w:r>
          </w:p>
        </w:tc>
        <w:tc>
          <w:tcPr>
            <w:tcW w:w="7500" w:type="dxa"/>
          </w:tcPr>
          <w:p>
            <w:pPr/>
            <w:r>
              <w:rPr/>
              <w:t xml:space="preserve">Kunststoff, Türkis</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Ferrul-Bohrung</w:t>
            </w:r>
          </w:p>
        </w:tc>
        <w:tc>
          <w:tcPr>
            <w:tcW w:w="7500" w:type="dxa"/>
          </w:tcPr>
          <w:p>
            <w:pPr/>
            <w:r>
              <w:rPr/>
              <w:t xml:space="preserve">126 µ</w:t>
            </w:r>
          </w:p>
        </w:tc>
      </w:tr>
      <w:tr>
        <w:trPr/>
        <w:tc>
          <w:tcPr>
            <w:tcW w:w="2500" w:type="dxa"/>
            <w:shd w:val="clear" w:fill="D9D9D9"/>
          </w:tcPr>
          <w:p>
            <w:pPr/>
            <w:r>
              <w:rPr/>
              <w:t xml:space="preserve">Steckzyklen</w:t>
            </w:r>
          </w:p>
        </w:tc>
        <w:tc>
          <w:tcPr>
            <w:tcW w:w="7500" w:type="dxa"/>
          </w:tcPr>
          <w:p>
            <w:pPr/>
            <w:r>
              <w:rPr/>
              <w:t xml:space="preserve">1.000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100 N</w:t>
            </w:r>
          </w:p>
        </w:tc>
      </w:tr>
      <w:tr>
        <w:trPr/>
        <w:tc>
          <w:tcPr>
            <w:tcW w:w="2500" w:type="dxa"/>
            <w:shd w:val="clear" w:fill="D9D9D9"/>
          </w:tcPr>
          <w:p>
            <w:pPr/>
            <w:r>
              <w:rPr/>
              <w:t xml:space="preserve">Hersteller</w:t>
            </w:r>
          </w:p>
        </w:tc>
        <w:tc>
          <w:tcPr>
            <w:tcW w:w="7500" w:type="dxa"/>
          </w:tcPr>
          <w:p>
            <w:pPr/>
            <w:r>
              <w:rPr/>
              <w:t xml:space="preserve">tde </w:t>
            </w:r>
          </w:p>
        </w:tc>
      </w:tr>
      <w:tr>
        <w:trPr/>
        <w:tc>
          <w:tcPr>
            <w:tcW w:w="2500" w:type="dxa"/>
            <w:shd w:val="clear" w:fill="D9D9D9"/>
          </w:tcPr>
          <w:p>
            <w:pPr/>
            <w:r>
              <w:rPr/>
              <w:t xml:space="preserve">Simplex- /Duplexklammer</w:t>
            </w:r>
          </w:p>
        </w:tc>
        <w:tc>
          <w:tcPr>
            <w:tcW w:w="7500" w:type="dxa"/>
          </w:tcPr>
          <w:p>
            <w:pPr/>
            <w:r>
              <w:rPr/>
              <w:t xml:space="preserve">mit Duplexklammer</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OM3</w:t>
            </w:r>
          </w:p>
        </w:tc>
        <w:tc>
          <w:tcPr/>
          <w:p>
            <w:pPr/>
            <w:r>
              <w:rPr/>
              <w:t xml:space="preserve">LC</w:t>
            </w:r>
          </w:p>
        </w:tc>
        <w:tc>
          <w:tcPr/>
          <w:p>
            <w:pPr/>
            <w:r>
              <w:rPr/>
              <w:t xml:space="preserve">850 nm</w:t>
            </w:r>
          </w:p>
        </w:tc>
        <w:tc>
          <w:tcPr/>
          <w:p>
            <w:pPr/>
            <w:r>
              <w:rPr/>
              <w:t xml:space="preserve">&lt; 0.20 dB</w:t>
            </w:r>
          </w:p>
        </w:tc>
        <w:tc>
          <w:tcPr/>
          <w:p>
            <w:pPr/>
            <w:r>
              <w:rPr/>
              <w:t xml:space="preserve">0.35 dB</w:t>
            </w:r>
          </w:p>
        </w:tc>
        <w:tc>
          <w:tcPr/>
          <w:p>
            <w:pPr/>
            <w:r>
              <w:rPr/>
              <w:t xml:space="preserve">30 dB</w:t>
            </w:r>
          </w:p>
        </w:tc>
      </w:tr>
    </w:tbl>
    <w:p>
      <w:pPr/>
      <w:r>
        <w:rPr/>
        <w:t xml:space="preserve">IL bei 97% gemessen nach IEC 61300-3-4 unter Laborbedingungen.
</w:t>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w:t>
            </w:r>
          </w:p>
        </w:tc>
        <w:tc>
          <w:tcPr>
            <w:tcW w:w="7500" w:type="dxa"/>
          </w:tcPr>
          <w:p>
            <w:pPr/>
            <w:r>
              <w:rPr/>
              <w:t xml:space="preserve">MPO/MTP® Male Push Pull Verriegelung (aqua)</w:t>
            </w:r>
          </w:p>
        </w:tc>
      </w:tr>
      <w:tr>
        <w:trPr/>
        <w:tc>
          <w:tcPr>
            <w:tcW w:w="2500" w:type="dxa"/>
            <w:shd w:val="clear" w:fill="D9D9D9"/>
          </w:tcPr>
          <w:p>
            <w:pPr/>
            <w:r>
              <w:rPr/>
              <w:t xml:space="preserve">Ferrule</w:t>
            </w:r>
          </w:p>
        </w:tc>
        <w:tc>
          <w:tcPr>
            <w:tcW w:w="7500" w:type="dxa"/>
          </w:tcPr>
          <w:p>
            <w:pPr/>
            <w:r>
              <w:rPr/>
              <w:t xml:space="preserve">12 Faser MM Elite® Ferrule, PPS</w:t>
            </w:r>
          </w:p>
        </w:tc>
      </w:tr>
      <w:tr>
        <w:trPr/>
        <w:tc>
          <w:tcPr>
            <w:tcW w:w="2500" w:type="dxa"/>
            <w:shd w:val="clear" w:fill="D9D9D9"/>
          </w:tcPr>
          <w:p>
            <w:pPr/>
            <w:r>
              <w:rPr/>
              <w:t xml:space="preserve">Tüllenfarbe</w:t>
            </w:r>
          </w:p>
        </w:tc>
        <w:tc>
          <w:tcPr>
            <w:tcW w:w="7500" w:type="dxa"/>
          </w:tcPr>
          <w:p>
            <w:pPr/>
            <w:r>
              <w:rPr/>
              <w:t xml:space="preserve">Schwarz</w:t>
            </w:r>
          </w:p>
        </w:tc>
      </w:tr>
      <w:tr>
        <w:trPr/>
        <w:tc>
          <w:tcPr>
            <w:tcW w:w="2500" w:type="dxa"/>
            <w:shd w:val="clear" w:fill="D9D9D9"/>
          </w:tcPr>
          <w:p>
            <w:pPr/>
            <w:r>
              <w:rPr/>
              <w:t xml:space="preserve">Hersteller</w:t>
            </w:r>
          </w:p>
        </w:tc>
        <w:tc>
          <w:tcPr>
            <w:tcW w:w="7500" w:type="dxa"/>
          </w:tcPr>
          <w:p>
            <w:pPr/>
            <w:r>
              <w:rPr/>
              <w:t xml:space="preserve">tde/US Conec</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OM3</w:t>
            </w:r>
          </w:p>
        </w:tc>
        <w:tc>
          <w:tcPr/>
          <w:p>
            <w:pPr/>
            <w:r>
              <w:rPr/>
              <w:t xml:space="preserve">MPO/MTP®</w:t>
            </w:r>
          </w:p>
        </w:tc>
        <w:tc>
          <w:tcPr/>
          <w:p>
            <w:pPr/>
            <w:r>
              <w:rPr/>
              <w:t xml:space="preserve">850 nm</w:t>
            </w:r>
          </w:p>
        </w:tc>
        <w:tc>
          <w:tcPr/>
          <w:p>
            <w:pPr/>
            <w:r>
              <w:rPr/>
              <w:t xml:space="preserve">≤ 0.14 dB</w:t>
            </w:r>
          </w:p>
        </w:tc>
        <w:tc>
          <w:tcPr/>
          <w:p>
            <w:pPr/>
            <w:r>
              <w:rPr/>
              <w:t xml:space="preserve">0.25 dB</w:t>
            </w:r>
          </w:p>
        </w:tc>
        <w:tc>
          <w:tcPr/>
          <w:p>
            <w:pPr/>
            <w:r>
              <w:rPr/>
              <w:t xml:space="preserve">35 dB</w:t>
            </w:r>
          </w:p>
        </w:tc>
      </w:tr>
    </w:tbl>
    <w:p>
      <w:pPr/>
      <w:r>
        <w:rPr/>
        <w:t xml:space="preserve"/>
      </w:r>
    </w:p>
    <w:p>
      <w:pPr/>
      <w:r>
        <w:rPr/>
        <w:t xml:space="preserve">***LWL Aufteiler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Länge Aufteiler</w:t>
            </w:r>
          </w:p>
        </w:tc>
        <w:tc>
          <w:tcPr>
            <w:tcW w:w="7500" w:type="dxa"/>
          </w:tcPr>
          <w:p>
            <w:pPr/>
            <w:r>
              <w:rPr/>
              <w:t xml:space="preserve">40 mm</w:t>
            </w:r>
          </w:p>
        </w:tc>
      </w:tr>
      <w:tr>
        <w:trPr/>
        <w:tc>
          <w:tcPr>
            <w:tcW w:w="2500" w:type="dxa"/>
            <w:shd w:val="clear" w:fill="D9D9D9"/>
          </w:tcPr>
          <w:p>
            <w:pPr/>
            <w:r>
              <w:rPr/>
              <w:t xml:space="preserve">Max. Ø Aufteiler</w:t>
            </w:r>
          </w:p>
        </w:tc>
        <w:tc>
          <w:tcPr>
            <w:tcW w:w="7500" w:type="dxa"/>
          </w:tcPr>
          <w:p>
            <w:pPr/>
            <w:r>
              <w:rPr/>
              <w:t xml:space="preserve">10 mm</w:t>
            </w:r>
          </w:p>
        </w:tc>
      </w:tr>
      <w:tr>
        <w:trPr/>
        <w:tc>
          <w:tcPr>
            <w:tcW w:w="2500" w:type="dxa"/>
            <w:shd w:val="clear" w:fill="D9D9D9"/>
          </w:tcPr>
          <w:p>
            <w:pPr/>
            <w:r>
              <w:rPr/>
              <w:t xml:space="preserve">Parallele Stecker</w:t>
            </w:r>
          </w:p>
        </w:tc>
        <w:tc>
          <w:tcPr>
            <w:tcW w:w="7500" w:type="dxa"/>
          </w:tcPr>
          <w:p>
            <w:pPr/>
            <w:r>
              <w:rPr/>
              <w:t xml:space="preserve">12</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Standards</w:t>
            </w:r>
          </w:p>
        </w:tc>
        <w:tc>
          <w:tcPr>
            <w:tcW w:w="7500" w:type="dxa"/>
          </w:tcPr>
          <w:p>
            <w:pPr/>
            <w:r>
              <w:rPr/>
              <w:t xml:space="preserve">EN 50173-5</w:t>
            </w:r>
          </w:p>
        </w:tc>
      </w:tr>
      <w:tr>
        <w:trPr/>
        <w:tc>
          <w:tcPr>
            <w:tcW w:w="2500" w:type="dxa"/>
            <w:shd w:val="clear" w:fill="D9D9D9"/>
          </w:tcPr>
          <w:p>
            <w:pPr/>
            <w:r>
              <w:rPr/>
              <w:t xml:space="preserve"> </w:t>
            </w:r>
          </w:p>
        </w:tc>
        <w:tc>
          <w:tcPr>
            <w:tcW w:w="7500" w:type="dxa"/>
          </w:tcPr>
          <w:p>
            <w:pPr/>
            <w:r>
              <w:rPr/>
              <w:t xml:space="preserve">IEC 60794-2-20</w:t>
            </w:r>
          </w:p>
        </w:tc>
      </w:tr>
      <w:tr>
        <w:trPr/>
        <w:tc>
          <w:tcPr>
            <w:tcW w:w="2500" w:type="dxa"/>
            <w:shd w:val="clear" w:fill="D9D9D9"/>
          </w:tcPr>
          <w:p>
            <w:pPr/>
            <w:r>
              <w:rPr/>
              <w:t xml:space="preserve"> </w:t>
            </w:r>
          </w:p>
        </w:tc>
        <w:tc>
          <w:tcPr>
            <w:tcW w:w="7500" w:type="dxa"/>
          </w:tcPr>
          <w:p>
            <w:pPr/>
            <w:r>
              <w:rPr/>
              <w:t xml:space="preserve">ISO/IEC 24764</w:t>
            </w:r>
          </w:p>
        </w:tc>
      </w:tr>
      <w:tr>
        <w:trPr/>
        <w:tc>
          <w:tcPr>
            <w:tcW w:w="2500" w:type="dxa"/>
            <w:shd w:val="clear" w:fill="D9D9D9"/>
          </w:tcPr>
          <w:p>
            <w:pPr/>
            <w:r>
              <w:rPr/>
              <w:t xml:space="preserve">Flammwidrigkeit</w:t>
            </w:r>
          </w:p>
        </w:tc>
        <w:tc>
          <w:tcPr>
            <w:tcW w:w="7500" w:type="dxa"/>
          </w:tcPr>
          <w:p>
            <w:pPr/>
            <w:r>
              <w:rPr/>
              <w:t xml:space="preserve">IEC 60332-1-2</w:t>
            </w:r>
          </w:p>
        </w:tc>
      </w:tr>
      <w:tr>
        <w:trPr/>
        <w:tc>
          <w:tcPr>
            <w:tcW w:w="2500" w:type="dxa"/>
            <w:shd w:val="clear" w:fill="D9D9D9"/>
          </w:tcPr>
          <w:p>
            <w:pPr/>
            <w:r>
              <w:rPr/>
              <w:t xml:space="preserve"> </w:t>
            </w:r>
          </w:p>
        </w:tc>
        <w:tc>
          <w:tcPr>
            <w:tcW w:w="7500" w:type="dxa"/>
          </w:tcPr>
          <w:p>
            <w:pPr/>
            <w:r>
              <w:rPr/>
              <w:t xml:space="preserve">IEC 60332-2-2</w:t>
            </w:r>
          </w:p>
        </w:tc>
      </w:tr>
      <w:tr>
        <w:trPr/>
        <w:tc>
          <w:tcPr>
            <w:tcW w:w="2500" w:type="dxa"/>
            <w:shd w:val="clear" w:fill="D9D9D9"/>
          </w:tcPr>
          <w:p>
            <w:pPr/>
            <w:r>
              <w:rPr/>
              <w:t xml:space="preserve"> </w:t>
            </w:r>
          </w:p>
        </w:tc>
        <w:tc>
          <w:tcPr>
            <w:tcW w:w="7500" w:type="dxa"/>
          </w:tcPr>
          <w:p>
            <w:pPr/>
            <w:r>
              <w:rPr/>
              <w:t xml:space="preserve">IEC 60754-1</w:t>
            </w:r>
          </w:p>
        </w:tc>
      </w:tr>
      <w:tr>
        <w:trPr/>
        <w:tc>
          <w:tcPr>
            <w:tcW w:w="2500" w:type="dxa"/>
            <w:shd w:val="clear" w:fill="D9D9D9"/>
          </w:tcPr>
          <w:p>
            <w:pPr/>
            <w:r>
              <w:rPr/>
              <w:t xml:space="preserve"> </w:t>
            </w:r>
          </w:p>
        </w:tc>
        <w:tc>
          <w:tcPr>
            <w:tcW w:w="7500" w:type="dxa"/>
          </w:tcPr>
          <w:p>
            <w:pPr/>
            <w:r>
              <w:rPr/>
              <w:t xml:space="preserve">IEC 60754-2</w:t>
            </w:r>
          </w:p>
        </w:tc>
      </w:tr>
      <w:tr>
        <w:trPr/>
        <w:tc>
          <w:tcPr>
            <w:tcW w:w="2500" w:type="dxa"/>
            <w:shd w:val="clear" w:fill="D9D9D9"/>
          </w:tcPr>
          <w:p>
            <w:pPr/>
            <w:r>
              <w:rPr/>
              <w:t xml:space="preserve"> </w:t>
            </w:r>
          </w:p>
        </w:tc>
        <w:tc>
          <w:tcPr>
            <w:tcW w:w="7500" w:type="dxa"/>
          </w:tcPr>
          <w:p>
            <w:pPr/>
            <w:r>
              <w:rPr/>
              <w:t xml:space="preserve">IEC 61034</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IVH12G50-OM3</w:t>
            </w:r>
          </w:p>
        </w:tc>
      </w:tr>
      <w:tr>
        <w:trPr/>
        <w:tc>
          <w:tcPr>
            <w:tcW w:w="2500" w:type="dxa"/>
            <w:shd w:val="clear" w:fill="D9D9D9"/>
          </w:tcPr>
          <w:p>
            <w:pPr/>
            <w:r>
              <w:rPr/>
              <w:t xml:space="preserve">Bündelader</w:t>
            </w:r>
          </w:p>
        </w:tc>
        <w:tc>
          <w:tcPr>
            <w:tcW w:w="7500" w:type="dxa"/>
          </w:tcPr>
          <w:p>
            <w:pPr/>
            <w:r>
              <w:rPr/>
              <w:t xml:space="preserve">12 sekundärgecoatete Fasern im PVC-Röhrchen</w:t>
            </w:r>
          </w:p>
        </w:tc>
      </w:tr>
      <w:tr>
        <w:trPr/>
        <w:tc>
          <w:tcPr>
            <w:tcW w:w="2500" w:type="dxa"/>
            <w:shd w:val="clear" w:fill="D9D9D9"/>
          </w:tcPr>
          <w:p>
            <w:pPr/>
            <w:r>
              <w:rPr/>
              <w:t xml:space="preserve">Wandstärke PVC-Röhrchen</w:t>
            </w:r>
          </w:p>
        </w:tc>
        <w:tc>
          <w:tcPr>
            <w:tcW w:w="7500" w:type="dxa"/>
          </w:tcPr>
          <w:p>
            <w:pPr/>
            <w:r>
              <w:rPr/>
              <w:t xml:space="preserve">0.20 mm – 0.25 mm</w:t>
            </w:r>
          </w:p>
        </w:tc>
      </w:tr>
      <w:tr>
        <w:trPr/>
        <w:tc>
          <w:tcPr>
            <w:tcW w:w="2500" w:type="dxa"/>
            <w:shd w:val="clear" w:fill="D9D9D9"/>
          </w:tcPr>
          <w:p>
            <w:pPr/>
            <w:r>
              <w:rPr/>
              <w:t xml:space="preserve">Fasertyp</w:t>
            </w:r>
          </w:p>
        </w:tc>
        <w:tc>
          <w:tcPr>
            <w:tcW w:w="7500" w:type="dxa"/>
          </w:tcPr>
          <w:p>
            <w:pPr/>
            <w:r>
              <w:rPr/>
              <w:t xml:space="preserve">MM-OM3, 50/125µ, Corning ClearCurve OM3</w:t>
            </w:r>
          </w:p>
        </w:tc>
      </w:tr>
      <w:tr>
        <w:trPr/>
        <w:tc>
          <w:tcPr>
            <w:tcW w:w="2500" w:type="dxa"/>
            <w:shd w:val="clear" w:fill="D9D9D9"/>
          </w:tcPr>
          <w:p>
            <w:pPr/>
            <w:r>
              <w:rPr/>
              <w:t xml:space="preserve">Zugentlastung</w:t>
            </w:r>
          </w:p>
        </w:tc>
        <w:tc>
          <w:tcPr>
            <w:tcW w:w="7500" w:type="dxa"/>
          </w:tcPr>
          <w:p>
            <w:pPr/>
            <w:r>
              <w:rPr/>
              <w:t xml:space="preserve">Aramid Garn</w:t>
            </w:r>
          </w:p>
        </w:tc>
      </w:tr>
      <w:tr>
        <w:trPr/>
        <w:tc>
          <w:tcPr>
            <w:tcW w:w="2500" w:type="dxa"/>
            <w:shd w:val="clear" w:fill="D9D9D9"/>
          </w:tcPr>
          <w:p>
            <w:pPr/>
            <w:r>
              <w:rPr/>
              <w:t xml:space="preserve">Außenmantel</w:t>
            </w:r>
          </w:p>
        </w:tc>
        <w:tc>
          <w:tcPr>
            <w:tcW w:w="7500" w:type="dxa"/>
          </w:tcPr>
          <w:p>
            <w:pPr/>
            <w:r>
              <w:rPr/>
              <w:t xml:space="preserve">LSZH (Halogenfrei, geringe Rauchentwicklung, Flammwidrig)</w:t>
            </w:r>
          </w:p>
        </w:tc>
      </w:tr>
      <w:tr>
        <w:trPr/>
        <w:tc>
          <w:tcPr>
            <w:tcW w:w="2500" w:type="dxa"/>
            <w:shd w:val="clear" w:fill="D9D9D9"/>
          </w:tcPr>
          <w:p>
            <w:pPr/>
            <w:r>
              <w:rPr/>
              <w:t xml:space="preserve">Mantelfarbe</w:t>
            </w:r>
          </w:p>
        </w:tc>
        <w:tc>
          <w:tcPr>
            <w:tcW w:w="7500" w:type="dxa"/>
          </w:tcPr>
          <w:p>
            <w:pPr/>
            <w:r>
              <w:rPr/>
              <w:t xml:space="preserve">Aqua, RAL 6027</w:t>
            </w:r>
          </w:p>
        </w:tc>
      </w:tr>
      <w:tr>
        <w:trPr/>
        <w:tc>
          <w:tcPr>
            <w:tcW w:w="2500" w:type="dxa"/>
            <w:shd w:val="clear" w:fill="D9D9D9"/>
          </w:tcPr>
          <w:p>
            <w:pPr/>
            <w:r>
              <w:rPr/>
              <w:t xml:space="preserve">Standardaufdruck</w:t>
            </w:r>
          </w:p>
        </w:tc>
        <w:tc>
          <w:tcPr>
            <w:tcW w:w="7500" w:type="dxa"/>
          </w:tcPr>
          <w:p>
            <w:pPr/>
            <w:r>
              <w:rPr/>
              <w:t xml:space="preserve">"t d e – IVH12G50-MPO-OM3 LSZH" und fortlaufende Meter-Markierung + Chargennummer</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Außendurchmesser Kabel</w:t>
            </w:r>
          </w:p>
        </w:tc>
        <w:tc>
          <w:tcPr>
            <w:tcW w:w="7500" w:type="dxa"/>
          </w:tcPr>
          <w:p>
            <w:pPr/>
            <w:r>
              <w:rPr/>
              <w:t xml:space="preserve">3.0 ± 0.1 mm</w:t>
            </w:r>
          </w:p>
        </w:tc>
      </w:tr>
      <w:tr>
        <w:trPr/>
        <w:tc>
          <w:tcPr>
            <w:tcW w:w="2500" w:type="dxa"/>
            <w:shd w:val="clear" w:fill="D9D9D9"/>
          </w:tcPr>
          <w:p>
            <w:pPr/>
            <w:r>
              <w:rPr/>
              <w:t xml:space="preserve">Durchmesser PVC-Röhrchen</w:t>
            </w:r>
          </w:p>
        </w:tc>
        <w:tc>
          <w:tcPr>
            <w:tcW w:w="7500" w:type="dxa"/>
          </w:tcPr>
          <w:p>
            <w:pPr/>
            <w:r>
              <w:rPr/>
              <w:t xml:space="preserve">1.8 ± 0.1 mm</w:t>
            </w:r>
          </w:p>
        </w:tc>
      </w:tr>
      <w:tr>
        <w:trPr/>
        <w:tc>
          <w:tcPr>
            <w:tcW w:w="2500" w:type="dxa"/>
            <w:shd w:val="clear" w:fill="D9D9D9"/>
          </w:tcPr>
          <w:p>
            <w:pPr/>
            <w:r>
              <w:rPr/>
              <w:t xml:space="preserve">Max. Zugfestigkeit</w:t>
            </w:r>
          </w:p>
        </w:tc>
        <w:tc>
          <w:tcPr>
            <w:tcW w:w="7500" w:type="dxa"/>
          </w:tcPr>
          <w:p>
            <w:pPr/>
            <w:r>
              <w:rPr/>
              <w:t xml:space="preserve">300 N</w:t>
            </w:r>
          </w:p>
        </w:tc>
      </w:tr>
      <w:tr>
        <w:trPr/>
        <w:tc>
          <w:tcPr>
            <w:tcW w:w="2500" w:type="dxa"/>
            <w:shd w:val="clear" w:fill="D9D9D9"/>
          </w:tcPr>
          <w:p>
            <w:pPr/>
            <w:r>
              <w:rPr/>
              <w:t xml:space="preserve">Min. Biegeradius</w:t>
            </w:r>
          </w:p>
        </w:tc>
        <w:tc>
          <w:tcPr>
            <w:tcW w:w="7500" w:type="dxa"/>
          </w:tcPr>
          <w:p>
            <w:pPr/>
            <w:r>
              <w:rPr/>
              <w:t xml:space="preserve">30 mm</w:t>
            </w:r>
          </w:p>
        </w:tc>
      </w:tr>
      <w:tr>
        <w:trPr/>
        <w:tc>
          <w:tcPr>
            <w:tcW w:w="2500" w:type="dxa"/>
            <w:shd w:val="clear" w:fill="D9D9D9"/>
          </w:tcPr>
          <w:p>
            <w:pPr/>
            <w:r>
              <w:rPr/>
              <w:t xml:space="preserve">Temperaturbereich (Lager, Installation, Betrieb)</w:t>
            </w:r>
          </w:p>
        </w:tc>
        <w:tc>
          <w:tcPr>
            <w:tcW w:w="7500" w:type="dxa"/>
          </w:tcPr>
          <w:p>
            <w:pPr/>
            <w:r>
              <w:rPr/>
              <w:t xml:space="preserve">-20°C bis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TML-LC/MPP50I12G3-xx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2025-04-05T21:16:37+00:00</dcterms:created>
  <dcterms:modified xsi:type="dcterms:W3CDTF">2025-04-05T21:16:37+00:00</dcterms:modified>
</cp:coreProperties>
</file>

<file path=docProps/custom.xml><?xml version="1.0" encoding="utf-8"?>
<Properties xmlns="http://schemas.openxmlformats.org/officeDocument/2006/custom-properties" xmlns:vt="http://schemas.openxmlformats.org/officeDocument/2006/docPropsVTypes"/>
</file>