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ST 50/125µ OM3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MM-OM3, 50/125µ, Corning ClearCurve</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Aqua, RAL 6027</w:t>
            </w:r>
          </w:p>
        </w:tc>
      </w:tr>
      <w:tr>
        <w:trPr/>
        <w:tc>
          <w:tcPr>
            <w:tcW w:w="2500" w:type="dxa"/>
            <w:shd w:val="clear" w:fill="D9D9D9"/>
          </w:tcPr>
          <w:p>
            <w:pPr/>
            <w:r>
              <w:rPr/>
              <w:t xml:space="preserve">Identification</w:t>
            </w:r>
          </w:p>
        </w:tc>
        <w:tc>
          <w:tcPr>
            <w:tcW w:w="7500" w:type="dxa"/>
          </w:tcPr>
          <w:p>
            <w:pPr/>
            <w:r>
              <w:rPr/>
              <w:t xml:space="preserve">"t d e – IVH01G50-OM3-2.4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ST</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L-ST/-50S3-xxxxx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2024-03-28T18:17:18+00:00</dcterms:created>
  <dcterms:modified xsi:type="dcterms:W3CDTF">2024-03-28T18:17:18+00:00</dcterms:modified>
</cp:coreProperties>
</file>

<file path=docProps/custom.xml><?xml version="1.0" encoding="utf-8"?>
<Properties xmlns="http://schemas.openxmlformats.org/officeDocument/2006/custom-properties" xmlns:vt="http://schemas.openxmlformats.org/officeDocument/2006/docPropsVTypes"/>
</file>