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SC Duplex 12G50/125µ OM3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 m. Pins ist für den Einsatz mit tML® - LWL Trunkkabeln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LSOH, aqua</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 Male Push Pull Verriegelung (aqua)</w:t>
            </w:r>
          </w:p>
        </w:tc>
      </w:tr>
      <w:tr>
        <w:trPr/>
        <w:tc>
          <w:tcPr>
            <w:tcW w:w="2500" w:type="dxa"/>
            <w:shd w:val="clear" w:fill="D9D9D9"/>
          </w:tcPr>
          <w:p>
            <w:pPr/>
            <w:r>
              <w:rPr/>
              <w:t xml:space="preserve">Ausgang</w:t>
            </w:r>
          </w:p>
        </w:tc>
        <w:tc>
          <w:tcPr>
            <w:tcW w:w="7500" w:type="dxa"/>
          </w:tcPr>
          <w:p>
            <w:pPr/>
            <w:r>
              <w:rPr/>
              <w:t xml:space="preserve">6 x SC Duplex Stecker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TML-MPP/SC50I12G3-xx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2024-04-19T04:19:49+00:00</dcterms:created>
  <dcterms:modified xsi:type="dcterms:W3CDTF">2024-04-19T04:19:49+00:00</dcterms:modified>
</cp:coreProperties>
</file>

<file path=docProps/custom.xml><?xml version="1.0" encoding="utf-8"?>
<Properties xmlns="http://schemas.openxmlformats.org/officeDocument/2006/custom-properties" xmlns:vt="http://schemas.openxmlformats.org/officeDocument/2006/docPropsVTypes"/>
</file>