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50/125µ OM3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Features
• Robust, flexible fiber optic Duplex cable with a combined sheath based on 2 single fiber cables 2.8 mm with semi tight buffer 0.9mm.
• Easy handling and simple to strip off.
• Low Fire load due to the halogen free LSOH sheath.
Application
• Patch cable between terminal distributors and/or end devices
• Direct connector installation
• Can be spliced in cable terminal distributors.
Optical characteristics
The cables are available with different types of fiber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Operation: -20 to +60°C IEC 60794-2-10</w:t>
            </w:r>
          </w:p>
        </w:tc>
      </w:tr>
      <w:tr>
        <w:trPr/>
        <w:tc>
          <w:tcPr>
            <w:tcW w:w="2500" w:type="dxa"/>
            <w:shd w:val="clear" w:fill="D9D9D9"/>
          </w:tcPr>
          <w:p>
            <w:pPr/>
            <w:r>
              <w:rPr/>
              <w:t xml:space="preserve"> </w:t>
            </w:r>
          </w:p>
        </w:tc>
        <w:tc>
          <w:tcPr>
            <w:tcW w:w="7500" w:type="dxa"/>
          </w:tcPr>
          <w:p>
            <w:pPr/>
            <w:r>
              <w:rPr/>
              <w:t xml:space="preserve">-10 to +60°C for assembled patch cords</w:t>
            </w:r>
          </w:p>
        </w:tc>
      </w:tr>
      <w:tr>
        <w:trPr/>
        <w:tc>
          <w:tcPr>
            <w:tcW w:w="2500" w:type="dxa"/>
            <w:shd w:val="clear" w:fill="D9D9D9"/>
          </w:tcPr>
          <w:p>
            <w:pPr/>
            <w:r>
              <w:rPr/>
              <w:t xml:space="preserve">Tensile performance</w:t>
            </w:r>
          </w:p>
        </w:tc>
        <w:tc>
          <w:tcPr>
            <w:tcW w:w="7500" w:type="dxa"/>
          </w:tcPr>
          <w:p>
            <w:pPr/>
            <w:r>
              <w:rPr/>
              <w:t xml:space="preserve">IEC 60794-1-21 E1 A</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 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G50/125 OM3 aqua, RAL 6027</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EC 60332-1-2, EN 60332-1-2, VDE 0482-332-1-2, SEV TP 20B/3C 3.4.1.1</w:t>
            </w:r>
          </w:p>
        </w:tc>
      </w:tr>
      <w:tr>
        <w:trPr/>
        <w:tc>
          <w:tcPr>
            <w:tcW w:w="2500" w:type="dxa"/>
            <w:shd w:val="clear" w:fill="D9D9D9"/>
          </w:tcPr>
          <w:p>
            <w:pPr/>
            <w:r>
              <w:rPr/>
              <w:t xml:space="preserve">Smoke density</w:t>
            </w:r>
          </w:p>
        </w:tc>
        <w:tc>
          <w:tcPr>
            <w:tcW w:w="7500" w:type="dxa"/>
          </w:tcPr>
          <w:p>
            <w:pPr/>
            <w:r>
              <w:rPr/>
              <w:t xml:space="preserve">IEC 61034-1/-2, EN 61034-1/-2, VDE 0482-1034-1/-2</w:t>
            </w:r>
          </w:p>
        </w:tc>
      </w:tr>
      <w:tr>
        <w:trPr/>
        <w:tc>
          <w:tcPr>
            <w:tcW w:w="2500" w:type="dxa"/>
            <w:shd w:val="clear" w:fill="D9D9D9"/>
          </w:tcPr>
          <w:p>
            <w:pPr/>
            <w:r>
              <w:rPr/>
              <w:t xml:space="preserve">Reaction to fire (Euroclasses)</w:t>
            </w:r>
          </w:p>
        </w:tc>
        <w:tc>
          <w:tcPr>
            <w:tcW w:w="7500" w:type="dxa"/>
          </w:tcPr>
          <w:p>
            <w:pPr/>
            <w:r>
              <w:rPr/>
              <w:t xml:space="preserve">EN 13501-6: Dca-s2,d1,a1</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Fibertype</w:t>
            </w:r>
          </w:p>
        </w:tc>
        <w:tc>
          <w:tcPr>
            <w:tcW w:w="7500" w:type="dxa"/>
          </w:tcPr>
          <w:p>
            <w:pPr/>
            <w:r>
              <w:rPr/>
              <w:t xml:space="preserve">MM-OM3, 50/125µ</w:t>
            </w:r>
          </w:p>
        </w:tc>
        <w:tc>
          <w:tcPr>
            <w:tcW w:w="7500" w:type="dxa"/>
          </w:tcPr>
          <w:p>
            <w:pPr/>
            <w:r>
              <w:rPr/>
              <w:t xml:space="preserve"> </w:t>
            </w:r>
          </w:p>
        </w:tc>
      </w:tr>
      <w:tr>
        <w:trPr/>
        <w:tc>
          <w:tcPr>
            <w:tcW w:w="2500" w:type="dxa"/>
            <w:shd w:val="clear" w:fill="D9D9D9"/>
          </w:tcPr>
          <w:p>
            <w:pPr/>
            <w:r>
              <w:rPr/>
              <w:t xml:space="preserve">Numerical aperture</w:t>
            </w:r>
          </w:p>
        </w:tc>
        <w:tc>
          <w:tcPr>
            <w:tcW w:w="7500" w:type="dxa"/>
          </w:tcPr>
          <w:p>
            <w:pPr/>
            <w:r>
              <w:rPr/>
              <w:t xml:space="preserve">0.200 ± 0.015</w:t>
            </w:r>
          </w:p>
        </w:tc>
        <w:tc>
          <w:tcPr>
            <w:tcW w:w="7500" w:type="dxa"/>
          </w:tcPr>
          <w:p>
            <w:pPr/>
            <w:r>
              <w:rPr/>
              <w:t xml:space="preserve"> </w:t>
            </w:r>
          </w:p>
        </w:tc>
      </w:tr>
      <w:tr>
        <w:trPr/>
        <w:tc>
          <w:tcPr>
            <w:tcW w:w="2500" w:type="dxa"/>
            <w:shd w:val="clear" w:fill="D9D9D9"/>
          </w:tcPr>
          <w:p>
            <w:pPr/>
            <w:r>
              <w:rPr/>
              <w:t xml:space="preserve">Core Ø</w:t>
            </w:r>
          </w:p>
        </w:tc>
        <w:tc>
          <w:tcPr>
            <w:tcW w:w="7500" w:type="dxa"/>
          </w:tcPr>
          <w:p>
            <w:pPr/>
            <w:r>
              <w:rPr/>
              <w:t xml:space="preserve">50 ± 2.5 µm</w:t>
            </w:r>
          </w:p>
        </w:tc>
        <w:tc>
          <w:tcPr>
            <w:tcW w:w="7500" w:type="dxa"/>
          </w:tcPr>
          <w:p>
            <w:pPr/>
            <w:r>
              <w:rPr/>
              <w:t xml:space="preserve"> </w:t>
            </w:r>
          </w:p>
        </w:tc>
      </w:tr>
      <w:tr>
        <w:trPr/>
        <w:tc>
          <w:tcPr>
            <w:tcW w:w="2500" w:type="dxa"/>
            <w:shd w:val="clear" w:fill="D9D9D9"/>
          </w:tcPr>
          <w:p>
            <w:pPr/>
            <w:r>
              <w:rPr/>
              <w:t xml:space="preserve">Max. Core non-circularity</w:t>
            </w:r>
          </w:p>
        </w:tc>
        <w:tc>
          <w:tcPr>
            <w:tcW w:w="7500" w:type="dxa"/>
          </w:tcPr>
          <w:p>
            <w:pPr/>
            <w:r>
              <w:rPr/>
              <w:t xml:space="preserve">5 %</w:t>
            </w:r>
          </w:p>
        </w:tc>
        <w:tc>
          <w:tcPr>
            <w:tcW w:w="7500" w:type="dxa"/>
          </w:tcPr>
          <w:p>
            <w:pPr/>
            <w:r>
              <w:rPr/>
              <w:t xml:space="preserve"> </w:t>
            </w:r>
          </w:p>
        </w:tc>
      </w:tr>
      <w:tr>
        <w:trPr/>
        <w:tc>
          <w:tcPr>
            <w:tcW w:w="2500" w:type="dxa"/>
            <w:shd w:val="clear" w:fill="D9D9D9"/>
          </w:tcPr>
          <w:p>
            <w:pPr/>
            <w:r>
              <w:rPr/>
              <w:t xml:space="preserve">Cladding Ø</w:t>
            </w:r>
          </w:p>
        </w:tc>
        <w:tc>
          <w:tcPr>
            <w:tcW w:w="7500" w:type="dxa"/>
          </w:tcPr>
          <w:p>
            <w:pPr/>
            <w:r>
              <w:rPr/>
              <w:t xml:space="preserve">125 ± 2 µm</w:t>
            </w:r>
          </w:p>
        </w:tc>
        <w:tc>
          <w:tcPr>
            <w:tcW w:w="7500" w:type="dxa"/>
          </w:tcPr>
          <w:p>
            <w:pPr/>
            <w:r>
              <w:rPr/>
              <w:t xml:space="preserve"> </w:t>
            </w:r>
          </w:p>
        </w:tc>
      </w:tr>
      <w:tr>
        <w:trPr/>
        <w:tc>
          <w:tcPr>
            <w:tcW w:w="2500" w:type="dxa"/>
            <w:shd w:val="clear" w:fill="D9D9D9"/>
          </w:tcPr>
          <w:p>
            <w:pPr/>
            <w:r>
              <w:rPr/>
              <w:t xml:space="preserve">Max. Cladding non-circularity</w:t>
            </w:r>
          </w:p>
        </w:tc>
        <w:tc>
          <w:tcPr>
            <w:tcW w:w="7500" w:type="dxa"/>
          </w:tcPr>
          <w:p>
            <w:pPr/>
            <w:r>
              <w:rPr/>
              <w:t xml:space="preserve">1.0 %</w:t>
            </w:r>
          </w:p>
        </w:tc>
        <w:tc>
          <w:tcPr>
            <w:tcW w:w="7500" w:type="dxa"/>
          </w:tcPr>
          <w:p>
            <w:pPr/>
            <w:r>
              <w:rPr/>
              <w:t xml:space="preserve"> </w:t>
            </w:r>
          </w:p>
        </w:tc>
      </w:tr>
      <w:tr>
        <w:trPr/>
        <w:tc>
          <w:tcPr>
            <w:tcW w:w="2500" w:type="dxa"/>
            <w:shd w:val="clear" w:fill="D9D9D9"/>
          </w:tcPr>
          <w:p>
            <w:pPr/>
            <w:r>
              <w:rPr/>
              <w:t xml:space="preserve">Max. Cladding/Core concentricity error</w:t>
            </w:r>
          </w:p>
        </w:tc>
        <w:tc>
          <w:tcPr>
            <w:tcW w:w="7500" w:type="dxa"/>
          </w:tcPr>
          <w:p>
            <w:pPr/>
            <w:r>
              <w:rPr/>
              <w:t xml:space="preserve">1.5 µm</w:t>
            </w:r>
          </w:p>
        </w:tc>
        <w:tc>
          <w:tcPr>
            <w:tcW w:w="7500" w:type="dxa"/>
          </w:tcPr>
          <w:p>
            <w:pPr/>
            <w:r>
              <w:rPr/>
              <w:t xml:space="preserve"> </w:t>
            </w:r>
          </w:p>
        </w:tc>
      </w:tr>
      <w:tr>
        <w:trPr/>
        <w:tc>
          <w:tcPr>
            <w:tcW w:w="2500" w:type="dxa"/>
            <w:shd w:val="clear" w:fill="D9D9D9"/>
          </w:tcPr>
          <w:p>
            <w:pPr/>
            <w:r>
              <w:rPr/>
              <w:t xml:space="preserve">Max. Cladding/Core concentricity error</w:t>
            </w:r>
          </w:p>
        </w:tc>
        <w:tc>
          <w:tcPr>
            <w:tcW w:w="7500" w:type="dxa"/>
          </w:tcPr>
          <w:p>
            <w:pPr/>
            <w:r>
              <w:rPr/>
              <w:t xml:space="preserve">12 µm</w:t>
            </w:r>
          </w:p>
        </w:tc>
        <w:tc>
          <w:tcPr>
            <w:tcW w:w="7500" w:type="dxa"/>
          </w:tcPr>
          <w:p>
            <w:pPr/>
            <w:r>
              <w:rPr/>
              <w:t xml:space="preserve"> </w:t>
            </w:r>
          </w:p>
        </w:tc>
      </w:tr>
      <w:tr>
        <w:trPr/>
        <w:tc>
          <w:tcPr>
            <w:tcW w:w="2500" w:type="dxa"/>
            <w:shd w:val="clear" w:fill="D9D9D9"/>
          </w:tcPr>
          <w:p>
            <w:pPr/>
            <w:r>
              <w:rPr/>
              <w:t xml:space="preserve">Coating Ø</w:t>
            </w:r>
          </w:p>
        </w:tc>
        <w:tc>
          <w:tcPr>
            <w:tcW w:w="7500" w:type="dxa"/>
          </w:tcPr>
          <w:p>
            <w:pPr/>
            <w:r>
              <w:rPr/>
              <w:t xml:space="preserve">242 ± 5 µm</w:t>
            </w:r>
          </w:p>
        </w:tc>
        <w:tc>
          <w:tcPr>
            <w:tcW w:w="7500" w:type="dxa"/>
          </w:tcPr>
          <w:p>
            <w:pPr/>
            <w:r>
              <w:rPr/>
              <w:t xml:space="preserve"> </w:t>
            </w:r>
          </w:p>
        </w:tc>
      </w:tr>
      <w:tr>
        <w:trPr/>
        <w:tc>
          <w:tcPr>
            <w:tcW w:w="2500" w:type="dxa"/>
            <w:shd w:val="clear" w:fill="D9D9D9"/>
          </w:tcPr>
          <w:p>
            <w:pPr/>
            <w:r>
              <w:rPr/>
              <w:t xml:space="preserve">Proof test</w:t>
            </w:r>
          </w:p>
        </w:tc>
        <w:tc>
          <w:tcPr>
            <w:tcW w:w="7500" w:type="dxa"/>
          </w:tcPr>
          <w:p>
            <w:pPr/>
            <w:r>
              <w:rPr/>
              <w:t xml:space="preserve">100 kpsi</w:t>
            </w:r>
          </w:p>
        </w:tc>
        <w:tc>
          <w:tcPr>
            <w:tcW w:w="7500" w:type="dxa"/>
          </w:tcPr>
          <w:p>
            <w:pPr/>
            <w:r>
              <w:rPr/>
              <w:t xml:space="preserve"> </w:t>
            </w:r>
          </w:p>
        </w:tc>
      </w:tr>
      <w:tr>
        <w:trPr/>
        <w:tc>
          <w:tcPr>
            <w:tcW w:w="2500" w:type="dxa"/>
            <w:shd w:val="clear" w:fill="D9D9D9"/>
          </w:tcPr>
          <w:p>
            <w:pPr/>
            <w:r>
              <w:rPr/>
              <w:t xml:space="preserve">Wavelength</w:t>
            </w:r>
          </w:p>
        </w:tc>
        <w:tc>
          <w:tcPr>
            <w:tcW w:w="7500" w:type="dxa"/>
          </w:tcPr>
          <w:p>
            <w:pPr/>
            <w:r>
              <w:rPr/>
              <w:t xml:space="preserve">850 nm</w:t>
            </w:r>
          </w:p>
        </w:tc>
        <w:tc>
          <w:tcPr>
            <w:tcW w:w="7500" w:type="dxa"/>
          </w:tcPr>
          <w:p>
            <w:pPr/>
            <w:r>
              <w:rPr/>
              <w:t xml:space="preserve">1300 nm</w:t>
            </w:r>
          </w:p>
        </w:tc>
      </w:tr>
      <w:tr>
        <w:trPr/>
        <w:tc>
          <w:tcPr>
            <w:tcW w:w="2500" w:type="dxa"/>
            <w:shd w:val="clear" w:fill="D9D9D9"/>
          </w:tcPr>
          <w:p>
            <w:pPr/>
            <w:r>
              <w:rPr/>
              <w:t xml:space="preserve">Attenuation typ. (cabled)</w:t>
            </w:r>
          </w:p>
        </w:tc>
        <w:tc>
          <w:tcPr>
            <w:tcW w:w="7500" w:type="dxa"/>
          </w:tcPr>
          <w:p>
            <w:pPr/>
            <w:r>
              <w:rPr/>
              <w:t xml:space="preserve">2.5 dB/km</w:t>
            </w:r>
          </w:p>
        </w:tc>
        <w:tc>
          <w:tcPr>
            <w:tcW w:w="7500" w:type="dxa"/>
          </w:tcPr>
          <w:p>
            <w:pPr/>
            <w:r>
              <w:rPr/>
              <w:t xml:space="preserve">0.5 dB/km</w:t>
            </w:r>
          </w:p>
        </w:tc>
      </w:tr>
      <w:tr>
        <w:trPr/>
        <w:tc>
          <w:tcPr>
            <w:tcW w:w="2500" w:type="dxa"/>
            <w:shd w:val="clear" w:fill="D9D9D9"/>
          </w:tcPr>
          <w:p>
            <w:pPr/>
            <w:r>
              <w:rPr/>
              <w:t xml:space="preserve">Attenuation max. (cabled)</w:t>
            </w:r>
          </w:p>
        </w:tc>
        <w:tc>
          <w:tcPr>
            <w:tcW w:w="7500" w:type="dxa"/>
          </w:tcPr>
          <w:p>
            <w:pPr/>
            <w:r>
              <w:rPr/>
              <w:t xml:space="preserve">2.7 dB/km</w:t>
            </w:r>
          </w:p>
        </w:tc>
        <w:tc>
          <w:tcPr>
            <w:tcW w:w="7500" w:type="dxa"/>
          </w:tcPr>
          <w:p>
            <w:pPr/>
            <w:r>
              <w:rPr/>
              <w:t xml:space="preserve">0.7 dB/km</w:t>
            </w:r>
          </w:p>
        </w:tc>
      </w:tr>
      <w:tr>
        <w:trPr/>
        <w:tc>
          <w:tcPr>
            <w:tcW w:w="2500" w:type="dxa"/>
            <w:shd w:val="clear" w:fill="D9D9D9"/>
          </w:tcPr>
          <w:p>
            <w:pPr/>
            <w:r>
              <w:rPr/>
              <w:t xml:space="preserve">OFL Bandbreite per TIA/EIA 455-204 and IEC 60793-1-41</w:t>
            </w:r>
          </w:p>
        </w:tc>
        <w:tc>
          <w:tcPr>
            <w:tcW w:w="7500" w:type="dxa"/>
          </w:tcPr>
          <w:p>
            <w:pPr/>
            <w:r>
              <w:rPr/>
              <w:t xml:space="preserve">1500 MHz x km</w:t>
            </w:r>
          </w:p>
        </w:tc>
        <w:tc>
          <w:tcPr>
            <w:tcW w:w="7500" w:type="dxa"/>
          </w:tcPr>
          <w:p>
            <w:pPr/>
            <w:r>
              <w:rPr/>
              <w:t xml:space="preserve">500 MHz x km</w:t>
            </w:r>
          </w:p>
        </w:tc>
      </w:tr>
      <w:tr>
        <w:trPr/>
        <w:tc>
          <w:tcPr>
            <w:tcW w:w="2500" w:type="dxa"/>
            <w:shd w:val="clear" w:fill="D9D9D9"/>
          </w:tcPr>
          <w:p>
            <w:pPr/>
            <w:r>
              <w:rPr/>
              <w:t xml:space="preserve">High Performance EMB, minEMBc, per TIA/EIA 455-220A and IEC 60793-1-49</w:t>
            </w:r>
          </w:p>
        </w:tc>
        <w:tc>
          <w:tcPr>
            <w:tcW w:w="7500" w:type="dxa"/>
          </w:tcPr>
          <w:p>
            <w:pPr/>
            <w:r>
              <w:rPr/>
              <w:t xml:space="preserve">2000 MHz x km</w:t>
            </w:r>
          </w:p>
        </w:tc>
        <w:tc>
          <w:tcPr>
            <w:tcW w:w="7500" w:type="dxa"/>
          </w:tcPr>
          <w:p>
            <w:pPr/>
            <w:r>
              <w:rPr/>
              <w:t xml:space="preserve"> </w:t>
            </w:r>
          </w:p>
        </w:tc>
      </w:tr>
      <w:tr>
        <w:trPr/>
        <w:tc>
          <w:tcPr>
            <w:tcW w:w="2500" w:type="dxa"/>
            <w:shd w:val="clear" w:fill="D9D9D9"/>
          </w:tcPr>
          <w:p>
            <w:pPr/>
            <w:r>
              <w:rPr/>
              <w:t xml:space="preserve">Refractive index</w:t>
            </w:r>
          </w:p>
        </w:tc>
        <w:tc>
          <w:tcPr>
            <w:tcW w:w="7500" w:type="dxa"/>
          </w:tcPr>
          <w:p>
            <w:pPr/>
            <w:r>
              <w:rPr/>
              <w:t xml:space="preserve">1.480</w:t>
            </w:r>
          </w:p>
        </w:tc>
        <w:tc>
          <w:tcPr>
            <w:tcW w:w="7500" w:type="dxa"/>
          </w:tcPr>
          <w:p>
            <w:pPr/>
            <w:r>
              <w:rPr/>
              <w:t xml:space="preserve">1.479</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Description</w:t>
            </w:r>
          </w:p>
        </w:tc>
        <w:tc>
          <w:tcPr>
            <w:tcW w:w="7500" w:type="dxa"/>
          </w:tcPr>
          <w:p>
            <w:pPr/>
            <w:r>
              <w:rPr/>
              <w:t xml:space="preserve">Duplex I-K(ZN)HH</w:t>
            </w:r>
          </w:p>
        </w:tc>
      </w:tr>
      <w:tr>
        <w:trPr/>
        <w:tc>
          <w:tcPr>
            <w:tcW w:w="2500" w:type="dxa"/>
            <w:shd w:val="clear" w:fill="D9D9D9"/>
          </w:tcPr>
          <w:p>
            <w:pPr/>
            <w:r>
              <w:rPr/>
              <w:t xml:space="preserve">CableØ</w:t>
            </w:r>
          </w:p>
        </w:tc>
        <w:tc>
          <w:tcPr>
            <w:tcW w:w="7500" w:type="dxa"/>
          </w:tcPr>
          <w:p>
            <w:pPr/>
            <w:r>
              <w:rPr/>
              <w:t xml:space="preserve">4.8 x 3.2 mm</w:t>
            </w:r>
          </w:p>
        </w:tc>
      </w:tr>
      <w:tr>
        <w:trPr/>
        <w:tc>
          <w:tcPr>
            <w:tcW w:w="2500" w:type="dxa"/>
            <w:shd w:val="clear" w:fill="D9D9D9"/>
          </w:tcPr>
          <w:p>
            <w:pPr/>
            <w:r>
              <w:rPr/>
              <w:t xml:space="preserve">Weight</w:t>
            </w:r>
          </w:p>
        </w:tc>
        <w:tc>
          <w:tcPr>
            <w:tcW w:w="7500" w:type="dxa"/>
          </w:tcPr>
          <w:p>
            <w:pPr/>
            <w:r>
              <w:rPr/>
              <w:t xml:space="preserve">21 kg/km</w:t>
            </w:r>
          </w:p>
        </w:tc>
      </w:tr>
      <w:tr>
        <w:trPr/>
        <w:tc>
          <w:tcPr>
            <w:tcW w:w="2500" w:type="dxa"/>
            <w:shd w:val="clear" w:fill="D9D9D9"/>
          </w:tcPr>
          <w:p>
            <w:pPr/>
            <w:r>
              <w:rPr/>
              <w:t xml:space="preserve">Bending radius</w:t>
            </w:r>
          </w:p>
        </w:tc>
        <w:tc>
          <w:tcPr>
            <w:tcW w:w="7500" w:type="dxa"/>
          </w:tcPr>
          <w:p>
            <w:pPr/>
            <w:r>
              <w:rPr/>
              <w:t xml:space="preserve">50 mm</w:t>
            </w:r>
          </w:p>
        </w:tc>
      </w:tr>
      <w:tr>
        <w:trPr/>
        <w:tc>
          <w:tcPr>
            <w:tcW w:w="2500" w:type="dxa"/>
            <w:shd w:val="clear" w:fill="D9D9D9"/>
          </w:tcPr>
          <w:p>
            <w:pPr/>
            <w:r>
              <w:rPr/>
              <w:t xml:space="preserve">Tensile load</w:t>
            </w:r>
          </w:p>
        </w:tc>
        <w:tc>
          <w:tcPr>
            <w:tcW w:w="7500" w:type="dxa"/>
          </w:tcPr>
          <w:p>
            <w:pPr/>
            <w:r>
              <w:rPr/>
              <w:t xml:space="preserve">200 N</w:t>
            </w:r>
          </w:p>
        </w:tc>
      </w:tr>
      <w:tr>
        <w:trPr/>
        <w:tc>
          <w:tcPr>
            <w:tcW w:w="2500" w:type="dxa"/>
            <w:shd w:val="clear" w:fill="D9D9D9"/>
          </w:tcPr>
          <w:p>
            <w:pPr/>
            <w:r>
              <w:rPr/>
              <w:t xml:space="preserve">Crush resistance short term</w:t>
            </w:r>
          </w:p>
        </w:tc>
        <w:tc>
          <w:tcPr>
            <w:tcW w:w="7500" w:type="dxa"/>
          </w:tcPr>
          <w:p>
            <w:pPr/>
            <w:r>
              <w:rPr/>
              <w:t xml:space="preserve">3000 N/cm</w:t>
            </w:r>
          </w:p>
        </w:tc>
      </w:tr>
      <w:tr>
        <w:trPr/>
        <w:tc>
          <w:tcPr>
            <w:tcW w:w="2500" w:type="dxa"/>
            <w:shd w:val="clear" w:fill="D9D9D9"/>
          </w:tcPr>
          <w:p>
            <w:pPr/>
            <w:r>
              <w:rPr/>
              <w:t xml:space="preserve">Fire load</w:t>
            </w:r>
          </w:p>
        </w:tc>
        <w:tc>
          <w:tcPr>
            <w:tcW w:w="7500" w:type="dxa"/>
          </w:tcPr>
          <w:p>
            <w:pPr/>
            <w:r>
              <w:rPr/>
              <w:t xml:space="preserve">100 kWh/km</w:t>
            </w:r>
          </w:p>
        </w:tc>
      </w:tr>
      <w:tr>
        <w:trPr/>
        <w:tc>
          <w:tcPr>
            <w:tcW w:w="2500" w:type="dxa"/>
            <w:shd w:val="clear" w:fill="D9D9D9"/>
          </w:tcPr>
          <w:p>
            <w:pPr/>
            <w:r>
              <w:rPr/>
              <w:t xml:space="preserve">Fire load</w:t>
            </w:r>
          </w:p>
        </w:tc>
        <w:tc>
          <w:tcPr>
            <w:tcW w:w="7500" w:type="dxa"/>
          </w:tcPr>
          <w:p>
            <w:pPr/>
            <w:r>
              <w:rPr/>
              <w:t xml:space="preserve">360 MJ/km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L-IVHH02G50-OM3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2024-04-17T13:29:14+00:00</dcterms:created>
  <dcterms:modified xsi:type="dcterms:W3CDTF">2024-04-17T13:29:14+00:00</dcterms:modified>
</cp:coreProperties>
</file>

<file path=docProps/custom.xml><?xml version="1.0" encoding="utf-8"?>
<Properties xmlns="http://schemas.openxmlformats.org/officeDocument/2006/custom-properties" xmlns:vt="http://schemas.openxmlformats.org/officeDocument/2006/docPropsVTypes"/>
</file>