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FC PC Round Adapter, "D" STYLE, Zirconia Straight Split
</w:t>
      </w:r>
    </w:p>
    <w:p>
      <w:pPr/>
      <w:r>
        <w:rPr/>
        <w:t xml:space="preserve">**FO Components
</w:t>
      </w:r>
    </w:p>
    <w:p>
      <w:pPr/>
      <w:r>
        <w:rPr/>
        <w:t xml:space="preserve">**FO Adapters
</w:t>
      </w:r>
    </w:p>
    <w:p>
      <w:pPr/>
      <w:r>
        <w:rPr/>
        <w:t xml:space="preserve">FC Round Adapters come with a D Flange (ø8.85 x 7.95mm), and feature nickel plated brass housing for corrosion resistance.
• Compact design
• NTT-FC compatibility
• High precision alignment
• Low insertion and return loss and back reflection
• Corrosion resistant body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FC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Applikation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OS2 PC, Multimode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Round "D" Style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Built form</w:t>
            </w:r>
          </w:p>
        </w:tc>
        <w:tc>
          <w:tcPr>
            <w:tcW w:w="7500" w:type="dxa"/>
          </w:tcPr>
          <w:p>
            <w:pPr/>
            <w:r>
              <w:rPr/>
              <w:t xml:space="preserve">FC Round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Metal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L-AD-FCDK-P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2024-04-20T05:44:02+00:00</dcterms:created>
  <dcterms:modified xsi:type="dcterms:W3CDTF">2024-04-20T05:44:02+00:00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