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Keystonemodul Cat.6A ISO/IEC m. LID inkl. Termination Block AWG 22-24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Das tBL® - RJ45 Buchsenmodul dient zum einfachen Aufrasten auf den Kabel Termination Block.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p>
      <w:pPr/>
      <w:r>
        <w:rPr/>
        <w:t xml:space="preserve">***tBL® - Termination Block AWG 22-24, transparent-gelb für Installationskabel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TBL-RJ45KSL/KT22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2024-04-19T07:16:30+00:00</dcterms:created>
  <dcterms:modified xsi:type="dcterms:W3CDTF">2024-04-19T07:16:30+00:00</dcterms:modified>
</cp:coreProperties>
</file>

<file path=docProps/custom.xml><?xml version="1.0" encoding="utf-8"?>
<Properties xmlns="http://schemas.openxmlformats.org/officeDocument/2006/custom-properties" xmlns:vt="http://schemas.openxmlformats.org/officeDocument/2006/docPropsVTypes"/>
</file>