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Patch Panel 19" 1HE 24x RJ45 Cat.6A inkl. Termination Block AWG 22-24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x RJ45 Keystone Module geschirmt Cat.6A ISO/IEC Set inkl. Kabel Termination Block AWG 22 - 24</w:t>
            </w:r>
          </w:p>
        </w:tc>
      </w:tr>
    </w:tbl>
    <w:p>
      <w:pPr/>
      <w:r>
        <w:rPr/>
        <w:t xml:space="preserve"/>
      </w:r>
    </w:p>
    <w:p>
      <w:pPr/>
      <w:r>
        <w:rPr/>
        <w:t xml:space="preserve">***tBL® - RJ45 Keystonemodul Cat.6A ISO/IEC inkl. Termination Block AWG 22-24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***tBL® - Termination Block AWG 22-24, transparent-gelb für Installationskabel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TBL-P24RJ45KS/KT22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2024-04-25T06:23:13+00:00</dcterms:created>
  <dcterms:modified xsi:type="dcterms:W3CDTF">2024-04-25T06:23:13+00:00</dcterms:modified>
</cp:coreProperties>
</file>

<file path=docProps/custom.xml><?xml version="1.0" encoding="utf-8"?>
<Properties xmlns="http://schemas.openxmlformats.org/officeDocument/2006/custom-properties" xmlns:vt="http://schemas.openxmlformats.org/officeDocument/2006/docPropsVTypes"/>
</file>