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Patch Panel 19" 1HE für 24x RJ45 Keystonemodule, RAL 7035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Patch Panel
</w:t>
      </w:r>
    </w:p>
    <w:p>
      <w:pPr/>
      <w:r>
        <w:rPr/>
        <w:t xml:space="preserve">Verteilerfeld 19" 1HE beschaltbar mit bis zu 24 tBL® - RJ45 Keystonemodulen. Im Lieferumfang sind das Montagematerial und ein Erdungsdraht nicht enthalten.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Normen</w:t>
            </w:r>
          </w:p>
        </w:tc>
        <w:tc>
          <w:tcPr>
            <w:tcW w:w="7500" w:type="dxa"/>
          </w:tcPr>
          <w:p>
            <w:pPr/>
            <w:r>
              <w:rPr/>
              <w:t xml:space="preserve">IEC 60603-7</w:t>
            </w:r>
          </w:p>
        </w:tc>
      </w:tr>
      <w:tr>
        <w:trPr/>
        <w:tc>
          <w:tcPr>
            <w:tcW w:w="2500" w:type="dxa"/>
            <w:shd w:val="clear" w:fill="D9D9D9"/>
          </w:tcPr>
          <w:p>
            <w:pPr/>
            <w:r>
              <w:rPr/>
              <w:t xml:space="preserve">Einbaumaß</w:t>
            </w:r>
          </w:p>
        </w:tc>
        <w:tc>
          <w:tcPr>
            <w:tcW w:w="7500" w:type="dxa"/>
          </w:tcPr>
          <w:p>
            <w:pPr/>
            <w:r>
              <w:rPr/>
              <w:t xml:space="preserve">19" 1HE Tiefe 155 mm</w:t>
            </w:r>
          </w:p>
        </w:tc>
      </w:tr>
      <w:tr>
        <w:trPr/>
        <w:tc>
          <w:tcPr>
            <w:tcW w:w="2500" w:type="dxa"/>
            <w:shd w:val="clear" w:fill="D9D9D9"/>
          </w:tcPr>
          <w:p>
            <w:pPr/>
            <w:r>
              <w:rPr/>
              <w:t xml:space="preserve">Frontseite Normausbruch</w:t>
            </w:r>
          </w:p>
        </w:tc>
        <w:tc>
          <w:tcPr>
            <w:tcW w:w="7500" w:type="dxa"/>
          </w:tcPr>
          <w:p>
            <w:pPr/>
            <w:r>
              <w:rPr/>
              <w:t xml:space="preserve">24 Module</w:t>
            </w:r>
          </w:p>
        </w:tc>
      </w:tr>
      <w:tr>
        <w:trPr/>
        <w:tc>
          <w:tcPr>
            <w:tcW w:w="2500" w:type="dxa"/>
            <w:shd w:val="clear" w:fill="D9D9D9"/>
          </w:tcPr>
          <w:p>
            <w:pPr/>
            <w:r>
              <w:rPr/>
              <w:t xml:space="preserve">Rückseite</w:t>
            </w:r>
          </w:p>
        </w:tc>
        <w:tc>
          <w:tcPr>
            <w:tcW w:w="7500" w:type="dxa"/>
          </w:tcPr>
          <w:p>
            <w:pPr/>
            <w:r>
              <w:rPr/>
              <w:t xml:space="preserve">Kabelabfangung</w:t>
            </w:r>
          </w:p>
        </w:tc>
      </w:tr>
      <w:tr>
        <w:trPr/>
        <w:tc>
          <w:tcPr>
            <w:tcW w:w="2500" w:type="dxa"/>
            <w:shd w:val="clear" w:fill="D9D9D9"/>
          </w:tcPr>
          <w:p>
            <w:pPr/>
            <w:r>
              <w:rPr/>
              <w:t xml:space="preserve">Werkstoff Gehäuse</w:t>
            </w:r>
          </w:p>
        </w:tc>
        <w:tc>
          <w:tcPr>
            <w:tcW w:w="7500" w:type="dxa"/>
          </w:tcPr>
          <w:p>
            <w:pPr/>
            <w:r>
              <w:rPr/>
              <w:t xml:space="preserve">Stahlblech lackiert RAL 7035</w:t>
            </w:r>
          </w:p>
        </w:tc>
      </w:tr>
      <w:tr>
        <w:trPr/>
        <w:tc>
          <w:tcPr>
            <w:tcW w:w="2500" w:type="dxa"/>
            <w:shd w:val="clear" w:fill="D9D9D9"/>
          </w:tcPr>
          <w:p>
            <w:pPr/>
            <w:r>
              <w:rPr/>
              <w:t xml:space="preserve">Kabelbefestigung</w:t>
            </w:r>
          </w:p>
        </w:tc>
        <w:tc>
          <w:tcPr>
            <w:tcW w:w="7500" w:type="dxa"/>
          </w:tcPr>
          <w:p>
            <w:pPr/>
            <w:r>
              <w:rPr/>
              <w:t xml:space="preserve">über Kabelbinder</w:t>
            </w:r>
          </w:p>
        </w:tc>
      </w:tr>
      <w:tr>
        <w:trPr/>
        <w:tc>
          <w:tcPr>
            <w:tcW w:w="2500" w:type="dxa"/>
            <w:shd w:val="clear" w:fill="D9D9D9"/>
          </w:tcPr>
          <w:p>
            <w:pPr/>
            <w:r>
              <w:rPr/>
              <w:t xml:space="preserve">Werkstoffe</w:t>
            </w:r>
          </w:p>
        </w:tc>
        <w:tc>
          <w:tcPr>
            <w:tcW w:w="7500" w:type="dxa"/>
          </w:tcPr>
          <w:p>
            <w:pPr/>
            <w:r>
              <w:rPr/>
              <w:t xml:space="preserve">gemäß RoHS 2002/95/EG</w:t>
            </w:r>
          </w:p>
        </w:tc>
      </w:tr>
      <w:tr>
        <w:trPr/>
        <w:tc>
          <w:tcPr>
            <w:tcW w:w="2500" w:type="dxa"/>
            <w:shd w:val="clear" w:fill="D9D9D9"/>
          </w:tcPr>
          <w:p>
            <w:pPr/>
            <w:r>
              <w:rPr/>
              <w:t xml:space="preserve">Kabeldurchmesser</w:t>
            </w:r>
          </w:p>
        </w:tc>
        <w:tc>
          <w:tcPr>
            <w:tcW w:w="7500" w:type="dxa"/>
          </w:tcPr>
          <w:p>
            <w:pPr/>
            <w:r>
              <w:rPr/>
              <w:t xml:space="preserve">5 - 10 mm</w:t>
            </w:r>
          </w:p>
        </w:tc>
      </w:tr>
      <w:tr>
        <w:trPr/>
        <w:tc>
          <w:tcPr>
            <w:tcW w:w="2500" w:type="dxa"/>
            <w:shd w:val="clear" w:fill="D9D9D9"/>
          </w:tcPr>
          <w:p>
            <w:pPr/>
            <w:r>
              <w:rPr/>
              <w:t xml:space="preserve">Anschlussklasse</w:t>
            </w:r>
          </w:p>
        </w:tc>
        <w:tc>
          <w:tcPr>
            <w:tcW w:w="7500" w:type="dxa"/>
          </w:tcPr>
          <w:p>
            <w:pPr/>
            <w:r>
              <w:rPr/>
              <w:t xml:space="preserve">IP20</w:t>
            </w:r>
          </w:p>
        </w:tc>
      </w:tr>
      <w:tr>
        <w:trPr/>
        <w:tc>
          <w:tcPr>
            <w:tcW w:w="2500" w:type="dxa"/>
            <w:shd w:val="clear" w:fill="D9D9D9"/>
          </w:tcPr>
          <w:p>
            <w:pPr/>
            <w:r>
              <w:rPr/>
              <w:t xml:space="preserve">Temperaturbereich</w:t>
            </w:r>
          </w:p>
        </w:tc>
        <w:tc>
          <w:tcPr>
            <w:tcW w:w="7500" w:type="dxa"/>
          </w:tcPr>
          <w:p>
            <w:pPr/>
            <w:r>
              <w:rPr/>
              <w:t xml:space="preserve">-40°C bis +70°C</w:t>
            </w:r>
          </w:p>
        </w:tc>
      </w:tr>
      <w:tr>
        <w:trPr/>
        <w:tc>
          <w:tcPr>
            <w:tcW w:w="2500" w:type="dxa"/>
            <w:shd w:val="clear" w:fill="D9D9D9"/>
          </w:tcPr>
          <w:p>
            <w:pPr/>
            <w:r>
              <w:rPr/>
              <w:t xml:space="preserve">Anwendung</w:t>
            </w:r>
          </w:p>
        </w:tc>
        <w:tc>
          <w:tcPr>
            <w:tcW w:w="7500" w:type="dxa"/>
          </w:tcPr>
          <w:p>
            <w:pPr/>
            <w:r>
              <w:rPr/>
              <w:t xml:space="preserve">Einbau in Verteilergestell</w:t>
            </w:r>
          </w:p>
        </w:tc>
      </w:tr>
      <w:tr>
        <w:trPr/>
        <w:tc>
          <w:tcPr>
            <w:tcW w:w="2500" w:type="dxa"/>
            <w:shd w:val="clear" w:fill="D9D9D9"/>
          </w:tcPr>
          <w:p>
            <w:pPr/>
            <w:r>
              <w:rPr/>
              <w:t xml:space="preserve">Einbauart</w:t>
            </w:r>
          </w:p>
        </w:tc>
        <w:tc>
          <w:tcPr>
            <w:tcW w:w="7500" w:type="dxa"/>
          </w:tcPr>
          <w:p>
            <w:pPr/>
            <w:r>
              <w:rPr/>
              <w:t xml:space="preserve">Verteilergestell</w:t>
            </w:r>
          </w:p>
        </w:tc>
      </w:tr>
      <w:tr>
        <w:trPr/>
        <w:tc>
          <w:tcPr>
            <w:tcW w:w="2500" w:type="dxa"/>
            <w:shd w:val="clear" w:fill="D9D9D9"/>
          </w:tcPr>
          <w:p>
            <w:pPr/>
            <w:r>
              <w:rPr/>
              <w:t xml:space="preserve">tBL® - Keystone Kompatibilität</w:t>
            </w:r>
          </w:p>
        </w:tc>
        <w:tc>
          <w:tcPr>
            <w:tcW w:w="7500" w:type="dxa"/>
          </w:tcPr>
          <w:p>
            <w:pPr/>
            <w:r>
              <w:rPr/>
              <w:t xml:space="preserve">tBL® - RJ45 Keystonemodul Cat.6A ISO/IEC tool-less, AWG 22-24 (P/N TBL-RJ45KS-TL)</w:t>
            </w:r>
          </w:p>
        </w:tc>
      </w:tr>
      <w:tr>
        <w:trPr/>
        <w:tc>
          <w:tcPr>
            <w:tcW w:w="2500" w:type="dxa"/>
            <w:shd w:val="clear" w:fill="D9D9D9"/>
          </w:tcPr>
          <w:p>
            <w:pPr/>
            <w:r>
              <w:rPr/>
              <w:t xml:space="preserve"> </w:t>
            </w:r>
          </w:p>
        </w:tc>
        <w:tc>
          <w:tcPr>
            <w:tcW w:w="7500" w:type="dxa"/>
          </w:tcPr>
          <w:p>
            <w:pPr/>
            <w:r>
              <w:rPr/>
              <w:t xml:space="preserve">tBL® - RJ45 Keystonemodul Cat.6A ISO/IEC für Termination Blöcke (P/N TBL-RJ45KS / TBL-RJ45KS/KT22 / TBL-RJ45KS/KT26)</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TBL-P24RJ45KS-W/O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2024-04-19T18:22:39+00:00</dcterms:created>
  <dcterms:modified xsi:type="dcterms:W3CDTF">2024-04-19T18:22:39+00:00</dcterms:modified>
</cp:coreProperties>
</file>

<file path=docProps/custom.xml><?xml version="1.0" encoding="utf-8"?>
<Properties xmlns="http://schemas.openxmlformats.org/officeDocument/2006/custom-properties" xmlns:vt="http://schemas.openxmlformats.org/officeDocument/2006/docPropsVTypes"/>
</file>