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Breakout Kabel 8G50/125µ OM4 LSOH 2,0mm
</w:t>
      </w:r>
    </w:p>
    <w:p>
      <w:pPr/>
      <w:r>
        <w:rPr/>
        <w:t xml:space="preserve">**tde - Standard LWL Kabelmeterware
</w:t>
      </w:r>
    </w:p>
    <w:p>
      <w:pPr/>
      <w:r>
        <w:rPr/>
        <w:t xml:space="preserve">Die Standard LWL Kabeltypen von tde sind speziell für die Konfektionierung von Rangier- und Adapterkabel, Pigtails und Trunkkabeln entwickelt worden. Auch ein Einsatz als Anschlussleitung zum Arbeitsplatz innerhalb von Gebäuden (FttD) ist möglich. Die Breakoutkabel besitzen bis zu 24 Einzelelemente mit 2mm Durchmesser. Der Gesamtkabeldurchmesser ist dabei sehr schlank.
Diese Kabel zeichnen sich durch sehr gute Konfektionseigenschaften aus. Der Kabelmantel und das Sekundär Coating sind leicht absetzbar.
</w:t>
      </w:r>
    </w:p>
    <w:p>
      <w:pPr/>
      <w:r>
        <w:rPr/>
        <w:t xml:space="preserve">**LWL Kabel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IVHH08G50/125 OM4</w:t>
            </w:r>
          </w:p>
        </w:tc>
      </w:tr>
      <w:tr>
        <w:trPr/>
        <w:tc>
          <w:tcPr>
            <w:tcW w:w="2500" w:type="dxa"/>
            <w:shd w:val="clear" w:fill="D9D9D9"/>
          </w:tcPr>
          <w:p>
            <w:pPr/>
            <w:r>
              <w:rPr/>
              <w:t xml:space="preserve">Faseranzahl</w:t>
            </w:r>
          </w:p>
        </w:tc>
        <w:tc>
          <w:tcPr>
            <w:tcW w:w="7500" w:type="dxa"/>
          </w:tcPr>
          <w:p>
            <w:pPr/>
            <w:r>
              <w:rPr/>
              <w:t xml:space="preserve">8</w:t>
            </w:r>
          </w:p>
        </w:tc>
      </w:tr>
      <w:tr>
        <w:trPr/>
        <w:tc>
          <w:tcPr>
            <w:tcW w:w="2500" w:type="dxa"/>
            <w:shd w:val="clear" w:fill="D9D9D9"/>
          </w:tcPr>
          <w:p>
            <w:pPr/>
            <w:r>
              <w:rPr/>
              <w:t xml:space="preserve">Aufbau</w:t>
            </w:r>
          </w:p>
        </w:tc>
        <w:tc>
          <w:tcPr>
            <w:tcW w:w="7500" w:type="dxa"/>
          </w:tcPr>
          <w:p>
            <w:pPr/>
            <w:r>
              <w:rPr/>
              <w:t xml:space="preserve">8</w:t>
            </w:r>
          </w:p>
        </w:tc>
      </w:tr>
      <w:tr>
        <w:trPr/>
        <w:tc>
          <w:tcPr>
            <w:tcW w:w="2500" w:type="dxa"/>
            <w:shd w:val="clear" w:fill="D9D9D9"/>
          </w:tcPr>
          <w:p>
            <w:pPr/>
            <w:r>
              <w:rPr/>
              <w:t xml:space="preserve">Außendurchmesser</w:t>
            </w:r>
          </w:p>
        </w:tc>
        <w:tc>
          <w:tcPr>
            <w:tcW w:w="7500" w:type="dxa"/>
          </w:tcPr>
          <w:p>
            <w:pPr/>
            <w:r>
              <w:rPr/>
              <w:t xml:space="preserve">9.3 mm</w:t>
            </w:r>
          </w:p>
        </w:tc>
      </w:tr>
      <w:tr>
        <w:trPr/>
        <w:tc>
          <w:tcPr>
            <w:tcW w:w="2500" w:type="dxa"/>
            <w:shd w:val="clear" w:fill="D9D9D9"/>
          </w:tcPr>
          <w:p>
            <w:pPr/>
            <w:r>
              <w:rPr/>
              <w:t xml:space="preserve">Toleranz</w:t>
            </w:r>
          </w:p>
        </w:tc>
        <w:tc>
          <w:tcPr>
            <w:tcW w:w="7500" w:type="dxa"/>
          </w:tcPr>
          <w:p>
            <w:pPr/>
            <w:r>
              <w:rPr/>
              <w:t xml:space="preserve">± 0.3 mm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Einzelelement Durchmesser</w:t>
            </w:r>
          </w:p>
        </w:tc>
        <w:tc>
          <w:tcPr>
            <w:tcW w:w="7500" w:type="dxa"/>
          </w:tcPr>
          <w:p>
            <w:pPr/>
            <w:r>
              <w:rPr/>
              <w:t xml:space="preserve">2.0 (± 0.1mm)</w:t>
            </w:r>
          </w:p>
        </w:tc>
      </w:tr>
      <w:tr>
        <w:trPr/>
        <w:tc>
          <w:tcPr>
            <w:tcW w:w="2500" w:type="dxa"/>
            <w:shd w:val="clear" w:fill="D9D9D9"/>
          </w:tcPr>
          <w:p>
            <w:pPr/>
            <w:r>
              <w:rPr/>
              <w:t xml:space="preserve">Armierungs Elemente</w:t>
            </w:r>
          </w:p>
        </w:tc>
        <w:tc>
          <w:tcPr>
            <w:tcW w:w="7500" w:type="dxa"/>
          </w:tcPr>
          <w:p>
            <w:pPr/>
            <w:r>
              <w:rPr/>
              <w:t xml:space="preserve">Aramid Garn</w:t>
            </w:r>
          </w:p>
        </w:tc>
      </w:tr>
      <w:tr>
        <w:trPr/>
        <w:tc>
          <w:tcPr>
            <w:tcW w:w="2500" w:type="dxa"/>
            <w:shd w:val="clear" w:fill="D9D9D9"/>
          </w:tcPr>
          <w:p>
            <w:pPr/>
            <w:r>
              <w:rPr/>
              <w:t xml:space="preserve">Außenmantel</w:t>
            </w:r>
          </w:p>
        </w:tc>
        <w:tc>
          <w:tcPr>
            <w:tcW w:w="7500" w:type="dxa"/>
          </w:tcPr>
          <w:p>
            <w:pPr/>
            <w:r>
              <w:rPr/>
              <w:t xml:space="preserve">LSOH (Halogenfrei, geringe Rauchentwicklung, Flammwidrig)</w:t>
            </w:r>
          </w:p>
        </w:tc>
      </w:tr>
      <w:tr>
        <w:trPr/>
        <w:tc>
          <w:tcPr>
            <w:tcW w:w="2500" w:type="dxa"/>
            <w:shd w:val="clear" w:fill="D9D9D9"/>
          </w:tcPr>
          <w:p>
            <w:pPr/>
            <w:r>
              <w:rPr/>
              <w:t xml:space="preserve">Mantelfarbe</w:t>
            </w:r>
          </w:p>
        </w:tc>
        <w:tc>
          <w:tcPr>
            <w:tcW w:w="7500" w:type="dxa"/>
          </w:tcPr>
          <w:p>
            <w:pPr/>
            <w:r>
              <w:rPr/>
              <w:t xml:space="preserve">Magenta</w:t>
            </w:r>
          </w:p>
        </w:tc>
      </w:tr>
      <w:tr>
        <w:trPr/>
        <w:tc>
          <w:tcPr>
            <w:tcW w:w="2500" w:type="dxa"/>
            <w:shd w:val="clear" w:fill="D9D9D9"/>
          </w:tcPr>
          <w:p>
            <w:pPr/>
            <w:r>
              <w:rPr/>
              <w:t xml:space="preserve">Standardaufdruck</w:t>
            </w:r>
          </w:p>
        </w:tc>
        <w:tc>
          <w:tcPr>
            <w:tcW w:w="7500" w:type="dxa"/>
          </w:tcPr>
          <w:p>
            <w:pPr/>
            <w:r>
              <w:rPr/>
              <w:t xml:space="preserve">“t d e – IVHH08G50-OM4-2.0” und fortlaufende Meter-Markierung + Chargennummer</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8</w:t>
            </w:r>
          </w:p>
        </w:tc>
      </w:tr>
      <w:tr>
        <w:trPr/>
        <w:tc>
          <w:tcPr>
            <w:tcW w:w="2500" w:type="dxa"/>
            <w:shd w:val="clear" w:fill="D9D9D9"/>
          </w:tcPr>
          <w:p>
            <w:pPr/>
            <w:r>
              <w:rPr/>
              <w:t xml:space="preserve">Gewicht</w:t>
            </w:r>
          </w:p>
        </w:tc>
        <w:tc>
          <w:tcPr>
            <w:tcW w:w="7500" w:type="dxa"/>
          </w:tcPr>
          <w:p>
            <w:pPr/>
            <w:r>
              <w:rPr/>
              <w:t xml:space="preserve">70 kg/km</w:t>
            </w:r>
          </w:p>
        </w:tc>
      </w:tr>
      <w:tr>
        <w:trPr/>
        <w:tc>
          <w:tcPr>
            <w:tcW w:w="2500" w:type="dxa"/>
            <w:shd w:val="clear" w:fill="D9D9D9"/>
          </w:tcPr>
          <w:p>
            <w:pPr/>
            <w:r>
              <w:rPr/>
              <w:t xml:space="preserve">Zugkraft</w:t>
            </w:r>
          </w:p>
        </w:tc>
        <w:tc>
          <w:tcPr>
            <w:tcW w:w="7500" w:type="dxa"/>
          </w:tcPr>
          <w:p>
            <w:pPr/>
            <w:r>
              <w:rPr/>
              <w:t xml:space="preserve">1200 N</w:t>
            </w:r>
          </w:p>
        </w:tc>
      </w:tr>
      <w:tr>
        <w:trPr/>
        <w:tc>
          <w:tcPr>
            <w:tcW w:w="2500" w:type="dxa"/>
            <w:shd w:val="clear" w:fill="D9D9D9"/>
          </w:tcPr>
          <w:p>
            <w:pPr/>
            <w:r>
              <w:rPr/>
              <w:t xml:space="preserve">Biegeradius</w:t>
            </w:r>
          </w:p>
        </w:tc>
        <w:tc>
          <w:tcPr>
            <w:tcW w:w="7500" w:type="dxa"/>
          </w:tcPr>
          <w:p>
            <w:pPr/>
            <w:r>
              <w:rPr/>
              <w:t xml:space="preserve">20 x Außendurchmesser</w:t>
            </w:r>
          </w:p>
        </w:tc>
      </w:tr>
      <w:tr>
        <w:trPr/>
        <w:tc>
          <w:tcPr>
            <w:tcW w:w="2500" w:type="dxa"/>
            <w:shd w:val="clear" w:fill="D9D9D9"/>
          </w:tcPr>
          <w:p>
            <w:pPr/>
            <w:r>
              <w:rPr/>
              <w:t xml:space="preserve">Betriebstemperatur</w:t>
            </w:r>
          </w:p>
        </w:tc>
        <w:tc>
          <w:tcPr>
            <w:tcW w:w="7500" w:type="dxa"/>
          </w:tcPr>
          <w:p>
            <w:pPr/>
            <w:r>
              <w:rPr/>
              <w:t xml:space="preserve">-5°C bis + 60°C</w:t>
            </w:r>
          </w:p>
        </w:tc>
      </w:tr>
      <w:tr>
        <w:trPr/>
        <w:tc>
          <w:tcPr>
            <w:tcW w:w="2500" w:type="dxa"/>
            <w:shd w:val="clear" w:fill="D9D9D9"/>
          </w:tcPr>
          <w:p>
            <w:pPr/>
            <w:r>
              <w:rPr/>
              <w:t xml:space="preserve">Flammwidrig</w:t>
            </w:r>
          </w:p>
        </w:tc>
        <w:tc>
          <w:tcPr>
            <w:tcW w:w="7500" w:type="dxa"/>
          </w:tcPr>
          <w:p>
            <w:pPr/>
            <w:r>
              <w:rPr/>
              <w:t xml:space="preserve">EN 50266, IEC 60332-3</w:t>
            </w:r>
          </w:p>
        </w:tc>
      </w:tr>
      <w:tr>
        <w:trPr/>
        <w:tc>
          <w:tcPr>
            <w:tcW w:w="2500" w:type="dxa"/>
            <w:shd w:val="clear" w:fill="D9D9D9"/>
          </w:tcPr>
          <w:p>
            <w:pPr/>
            <w:r>
              <w:rPr/>
              <w:t xml:space="preserve">Halogenfrei</w:t>
            </w:r>
          </w:p>
        </w:tc>
        <w:tc>
          <w:tcPr>
            <w:tcW w:w="7500" w:type="dxa"/>
          </w:tcPr>
          <w:p>
            <w:pPr/>
            <w:r>
              <w:rPr/>
              <w:t xml:space="preserve">EN 50267, IEC 60754</w:t>
            </w:r>
          </w:p>
        </w:tc>
      </w:tr>
      <w:tr>
        <w:trPr/>
        <w:tc>
          <w:tcPr>
            <w:tcW w:w="2500" w:type="dxa"/>
            <w:shd w:val="clear" w:fill="D9D9D9"/>
          </w:tcPr>
          <w:p>
            <w:pPr/>
            <w:r>
              <w:rPr/>
              <w:t xml:space="preserve">Geringe Rauchentwicklung</w:t>
            </w:r>
          </w:p>
        </w:tc>
        <w:tc>
          <w:tcPr>
            <w:tcW w:w="7500" w:type="dxa"/>
          </w:tcPr>
          <w:p>
            <w:pPr/>
            <w:r>
              <w:rPr/>
              <w:t xml:space="preserve">EN 50268, IEC 61034-1/2</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Eigenschaften</w:t>
            </w:r>
          </w:p>
        </w:tc>
        <w:tc>
          <w:tcPr>
            <w:tcW w:w="7500" w:type="dxa"/>
          </w:tcPr>
          <w:p>
            <w:pPr/>
            <w:r>
              <w:rPr/>
              <w:t xml:space="preserve">Faser und aramid Garn frei beweglich</w:t>
            </w:r>
          </w:p>
        </w:tc>
      </w:tr>
      <w:tr>
        <w:trPr/>
        <w:tc>
          <w:tcPr>
            <w:tcW w:w="2500" w:type="dxa"/>
            <w:shd w:val="clear" w:fill="D9D9D9"/>
          </w:tcPr>
          <w:p>
            <w:pPr/>
            <w:r>
              <w:rPr/>
              <w:t xml:space="preserve">Identifikation</w:t>
            </w:r>
          </w:p>
        </w:tc>
        <w:tc>
          <w:tcPr>
            <w:tcW w:w="7500" w:type="dxa"/>
          </w:tcPr>
          <w:p>
            <w:pPr/>
            <w:r>
              <w:rPr/>
              <w:t xml:space="preserve">Kennung, min. alle 25 cm auf Subkabel</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L-IVHH08G50-OM4-2.0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2025-04-11T01:32:46+00:00</dcterms:created>
  <dcterms:modified xsi:type="dcterms:W3CDTF">2025-04-11T01:32:46+00:00</dcterms:modified>
</cp:coreProperties>
</file>

<file path=docProps/custom.xml><?xml version="1.0" encoding="utf-8"?>
<Properties xmlns="http://schemas.openxmlformats.org/officeDocument/2006/custom-properties" xmlns:vt="http://schemas.openxmlformats.org/officeDocument/2006/docPropsVTypes"/>
</file>