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FO Breakout cable 24G50/125µ OM4 LSOH 2,0mm 
</w:t>
      </w:r>
    </w:p>
    <w:p>
      <w:pPr/>
      <w:r>
        <w:rPr/>
        <w:t xml:space="preserve">**tde - Standard FO Cables
</w:t>
      </w:r>
    </w:p>
    <w:p>
      <w:pPr/>
      <w:r>
        <w:rPr/>
        <w:t xml:space="preserve">The standard fiber optic cable types of tde specifically for the assembling of patch and adapter cables, pigtails and trunk cables has been developed. Also the use in FTTD applications inside buildings is possible. The breakout cables have up to 24 individual elements with a 2mm diameter. The overall cable diameter is very slim.
These cables are characterized by very good termination properties. The cable jacket and the secondary coating are easy removable.
</w:t>
      </w:r>
    </w:p>
    <w:p>
      <w:pPr/>
      <w:r>
        <w:rPr/>
        <w:t xml:space="preserve">**FO Cables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Type</w:t>
            </w:r>
          </w:p>
        </w:tc>
        <w:tc>
          <w:tcPr>
            <w:tcW w:w="7500" w:type="dxa"/>
          </w:tcPr>
          <w:p>
            <w:pPr/>
            <w:r>
              <w:rPr/>
              <w:t xml:space="preserve">IVHH24G50/125 OM4</w:t>
            </w:r>
          </w:p>
        </w:tc>
      </w:tr>
      <w:tr>
        <w:trPr/>
        <w:tc>
          <w:tcPr>
            <w:tcW w:w="2500" w:type="dxa"/>
            <w:shd w:val="clear" w:fill="D9D9D9"/>
          </w:tcPr>
          <w:p>
            <w:pPr/>
            <w:r>
              <w:rPr/>
              <w:t xml:space="preserve">Fiber Amount</w:t>
            </w:r>
          </w:p>
        </w:tc>
        <w:tc>
          <w:tcPr>
            <w:tcW w:w="7500" w:type="dxa"/>
          </w:tcPr>
          <w:p>
            <w:pPr/>
            <w:r>
              <w:rPr/>
              <w:t xml:space="preserve">24</w:t>
            </w:r>
          </w:p>
        </w:tc>
      </w:tr>
      <w:tr>
        <w:trPr/>
        <w:tc>
          <w:tcPr>
            <w:tcW w:w="2500" w:type="dxa"/>
            <w:shd w:val="clear" w:fill="D9D9D9"/>
          </w:tcPr>
          <w:p>
            <w:pPr/>
            <w:r>
              <w:rPr/>
              <w:t xml:space="preserve">Construction</w:t>
            </w:r>
          </w:p>
        </w:tc>
        <w:tc>
          <w:tcPr>
            <w:tcW w:w="7500" w:type="dxa"/>
          </w:tcPr>
          <w:p>
            <w:pPr/>
            <w:r>
              <w:rPr/>
              <w:t xml:space="preserve">4 x 6</w:t>
            </w:r>
          </w:p>
        </w:tc>
      </w:tr>
      <w:tr>
        <w:trPr/>
        <w:tc>
          <w:tcPr>
            <w:tcW w:w="2500" w:type="dxa"/>
            <w:shd w:val="clear" w:fill="D9D9D9"/>
          </w:tcPr>
          <w:p>
            <w:pPr/>
            <w:r>
              <w:rPr/>
              <w:t xml:space="preserve">Outer Diameter</w:t>
            </w:r>
          </w:p>
        </w:tc>
        <w:tc>
          <w:tcPr>
            <w:tcW w:w="7500" w:type="dxa"/>
          </w:tcPr>
          <w:p>
            <w:pPr/>
            <w:r>
              <w:rPr/>
              <w:t xml:space="preserve">17.4mm</w:t>
            </w:r>
          </w:p>
        </w:tc>
      </w:tr>
      <w:tr>
        <w:trPr/>
        <w:tc>
          <w:tcPr>
            <w:tcW w:w="2500" w:type="dxa"/>
            <w:shd w:val="clear" w:fill="D9D9D9"/>
          </w:tcPr>
          <w:p>
            <w:pPr/>
            <w:r>
              <w:rPr/>
              <w:t xml:space="preserve">Tolerance</w:t>
            </w:r>
          </w:p>
        </w:tc>
        <w:tc>
          <w:tcPr>
            <w:tcW w:w="7500" w:type="dxa"/>
          </w:tcPr>
          <w:p>
            <w:pPr/>
            <w:r>
              <w:rPr/>
              <w:t xml:space="preserve">± 0.5mm</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Subcable Diameter</w:t>
            </w:r>
          </w:p>
        </w:tc>
        <w:tc>
          <w:tcPr>
            <w:tcW w:w="7500" w:type="dxa"/>
          </w:tcPr>
          <w:p>
            <w:pPr/>
            <w:r>
              <w:rPr/>
              <w:t xml:space="preserve">2.0 (± 0.1mm)</w:t>
            </w:r>
          </w:p>
        </w:tc>
      </w:tr>
      <w:tr>
        <w:trPr/>
        <w:tc>
          <w:tcPr>
            <w:tcW w:w="2500" w:type="dxa"/>
            <w:shd w:val="clear" w:fill="D9D9D9"/>
          </w:tcPr>
          <w:p>
            <w:pPr/>
            <w:r>
              <w:rPr/>
              <w:t xml:space="preserve">Strength Members</w:t>
            </w:r>
          </w:p>
        </w:tc>
        <w:tc>
          <w:tcPr>
            <w:tcW w:w="7500" w:type="dxa"/>
          </w:tcPr>
          <w:p>
            <w:pPr/>
            <w:r>
              <w:rPr/>
              <w:t xml:space="preserve">Aramid yarns</w:t>
            </w:r>
          </w:p>
        </w:tc>
      </w:tr>
      <w:tr>
        <w:trPr/>
        <w:tc>
          <w:tcPr>
            <w:tcW w:w="2500" w:type="dxa"/>
            <w:shd w:val="clear" w:fill="D9D9D9"/>
          </w:tcPr>
          <w:p>
            <w:pPr/>
            <w:r>
              <w:rPr/>
              <w:t xml:space="preserve">Outer Jacket</w:t>
            </w:r>
          </w:p>
        </w:tc>
        <w:tc>
          <w:tcPr>
            <w:tcW w:w="7500" w:type="dxa"/>
          </w:tcPr>
          <w:p>
            <w:pPr/>
            <w:r>
              <w:rPr/>
              <w:t xml:space="preserve">LSOH (Halogen free, low smoke, flame retardant thermoplastic compound)</w:t>
            </w:r>
          </w:p>
        </w:tc>
      </w:tr>
      <w:tr>
        <w:trPr/>
        <w:tc>
          <w:tcPr>
            <w:tcW w:w="2500" w:type="dxa"/>
            <w:shd w:val="clear" w:fill="D9D9D9"/>
          </w:tcPr>
          <w:p>
            <w:pPr/>
            <w:r>
              <w:rPr/>
              <w:t xml:space="preserve">Jacket Colour</w:t>
            </w:r>
          </w:p>
        </w:tc>
        <w:tc>
          <w:tcPr>
            <w:tcW w:w="7500" w:type="dxa"/>
          </w:tcPr>
          <w:p>
            <w:pPr/>
            <w:r>
              <w:rPr/>
              <w:t xml:space="preserve">Magenta</w:t>
            </w:r>
          </w:p>
        </w:tc>
      </w:tr>
      <w:tr>
        <w:trPr/>
        <w:tc>
          <w:tcPr>
            <w:tcW w:w="2500" w:type="dxa"/>
            <w:shd w:val="clear" w:fill="D9D9D9"/>
          </w:tcPr>
          <w:p>
            <w:pPr/>
            <w:r>
              <w:rPr/>
              <w:t xml:space="preserve">Standard printing</w:t>
            </w:r>
          </w:p>
        </w:tc>
        <w:tc>
          <w:tcPr>
            <w:tcW w:w="7500" w:type="dxa"/>
          </w:tcPr>
          <w:p>
            <w:pPr/>
            <w:r>
              <w:rPr/>
              <w:t xml:space="preserve">“t d e – IVHH24G50-OM4-2.0” and sequential meter marking + Lot number</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Fiber Amount</w:t>
            </w:r>
          </w:p>
        </w:tc>
        <w:tc>
          <w:tcPr>
            <w:tcW w:w="7500" w:type="dxa"/>
          </w:tcPr>
          <w:p>
            <w:pPr/>
            <w:r>
              <w:rPr/>
              <w:t xml:space="preserve">24</w:t>
            </w:r>
          </w:p>
        </w:tc>
      </w:tr>
      <w:tr>
        <w:trPr/>
        <w:tc>
          <w:tcPr>
            <w:tcW w:w="2500" w:type="dxa"/>
            <w:shd w:val="clear" w:fill="D9D9D9"/>
          </w:tcPr>
          <w:p>
            <w:pPr/>
            <w:r>
              <w:rPr/>
              <w:t xml:space="preserve">Weight</w:t>
            </w:r>
          </w:p>
        </w:tc>
        <w:tc>
          <w:tcPr>
            <w:tcW w:w="7500" w:type="dxa"/>
          </w:tcPr>
          <w:p>
            <w:pPr/>
            <w:r>
              <w:rPr/>
              <w:t xml:space="preserve">235 kg/km</w:t>
            </w:r>
          </w:p>
        </w:tc>
      </w:tr>
      <w:tr>
        <w:trPr/>
        <w:tc>
          <w:tcPr>
            <w:tcW w:w="2500" w:type="dxa"/>
            <w:shd w:val="clear" w:fill="D9D9D9"/>
          </w:tcPr>
          <w:p>
            <w:pPr/>
            <w:r>
              <w:rPr/>
              <w:t xml:space="preserve">Tensile load</w:t>
            </w:r>
          </w:p>
        </w:tc>
        <w:tc>
          <w:tcPr>
            <w:tcW w:w="7500" w:type="dxa"/>
          </w:tcPr>
          <w:p>
            <w:pPr/>
            <w:r>
              <w:rPr/>
              <w:t xml:space="preserve">3200 N</w:t>
            </w:r>
          </w:p>
        </w:tc>
      </w:tr>
      <w:tr>
        <w:trPr/>
        <w:tc>
          <w:tcPr>
            <w:tcW w:w="2500" w:type="dxa"/>
            <w:shd w:val="clear" w:fill="D9D9D9"/>
          </w:tcPr>
          <w:p>
            <w:pPr/>
            <w:r>
              <w:rPr/>
              <w:t xml:space="preserve">Bending radius</w:t>
            </w:r>
          </w:p>
        </w:tc>
        <w:tc>
          <w:tcPr>
            <w:tcW w:w="7500" w:type="dxa"/>
          </w:tcPr>
          <w:p>
            <w:pPr/>
            <w:r>
              <w:rPr/>
              <w:t xml:space="preserve">20 x outer diamter</w:t>
            </w:r>
          </w:p>
        </w:tc>
      </w:tr>
      <w:tr>
        <w:trPr/>
        <w:tc>
          <w:tcPr>
            <w:tcW w:w="2500" w:type="dxa"/>
            <w:shd w:val="clear" w:fill="D9D9D9"/>
          </w:tcPr>
          <w:p>
            <w:pPr/>
            <w:r>
              <w:rPr/>
              <w:t xml:space="preserve">Operating temperature</w:t>
            </w:r>
          </w:p>
        </w:tc>
        <w:tc>
          <w:tcPr>
            <w:tcW w:w="7500" w:type="dxa"/>
          </w:tcPr>
          <w:p>
            <w:pPr/>
            <w:r>
              <w:rPr/>
              <w:t xml:space="preserve">-5°C to + 60°C</w:t>
            </w:r>
          </w:p>
        </w:tc>
      </w:tr>
      <w:tr>
        <w:trPr/>
        <w:tc>
          <w:tcPr>
            <w:tcW w:w="2500" w:type="dxa"/>
            <w:shd w:val="clear" w:fill="D9D9D9"/>
          </w:tcPr>
          <w:p>
            <w:pPr/>
            <w:r>
              <w:rPr/>
              <w:t xml:space="preserve">Fire resistance</w:t>
            </w:r>
          </w:p>
        </w:tc>
        <w:tc>
          <w:tcPr>
            <w:tcW w:w="7500" w:type="dxa"/>
          </w:tcPr>
          <w:p>
            <w:pPr/>
            <w:r>
              <w:rPr/>
              <w:t xml:space="preserve">Pass (EN 50266, IEC 60332-3)</w:t>
            </w:r>
          </w:p>
        </w:tc>
      </w:tr>
      <w:tr>
        <w:trPr/>
        <w:tc>
          <w:tcPr>
            <w:tcW w:w="2500" w:type="dxa"/>
            <w:shd w:val="clear" w:fill="D9D9D9"/>
          </w:tcPr>
          <w:p>
            <w:pPr/>
            <w:r>
              <w:rPr/>
              <w:t xml:space="preserve">Halogen content</w:t>
            </w:r>
          </w:p>
        </w:tc>
        <w:tc>
          <w:tcPr>
            <w:tcW w:w="7500" w:type="dxa"/>
          </w:tcPr>
          <w:p>
            <w:pPr/>
            <w:r>
              <w:rPr/>
              <w:t xml:space="preserve">Free (EN 50267, IEC 60754)</w:t>
            </w:r>
          </w:p>
        </w:tc>
      </w:tr>
      <w:tr>
        <w:trPr/>
        <w:tc>
          <w:tcPr>
            <w:tcW w:w="2500" w:type="dxa"/>
            <w:shd w:val="clear" w:fill="D9D9D9"/>
          </w:tcPr>
          <w:p>
            <w:pPr/>
            <w:r>
              <w:rPr/>
              <w:t xml:space="preserve">Smoke density</w:t>
            </w:r>
          </w:p>
        </w:tc>
        <w:tc>
          <w:tcPr>
            <w:tcW w:w="7500" w:type="dxa"/>
          </w:tcPr>
          <w:p>
            <w:pPr/>
            <w:r>
              <w:rPr/>
              <w:t xml:space="preserve">Low (EN 50268, IEC 61034-1/2)</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Characteristics</w:t>
            </w:r>
          </w:p>
        </w:tc>
        <w:tc>
          <w:tcPr>
            <w:tcW w:w="7500" w:type="dxa"/>
          </w:tcPr>
          <w:p>
            <w:pPr/>
            <w:r>
              <w:rPr/>
              <w:t xml:space="preserve">Fiber and aramid yarn free movable in the compound</w:t>
            </w:r>
          </w:p>
        </w:tc>
      </w:tr>
      <w:tr>
        <w:trPr/>
        <w:tc>
          <w:tcPr>
            <w:tcW w:w="2500" w:type="dxa"/>
            <w:shd w:val="clear" w:fill="D9D9D9"/>
          </w:tcPr>
          <w:p>
            <w:pPr/>
            <w:r>
              <w:rPr/>
              <w:t xml:space="preserve">Identification</w:t>
            </w:r>
          </w:p>
        </w:tc>
        <w:tc>
          <w:tcPr>
            <w:tcW w:w="7500" w:type="dxa"/>
          </w:tcPr>
          <w:p>
            <w:pPr/>
            <w:r>
              <w:rPr/>
              <w:t xml:space="preserve">Numbers, min. every 25cm on subcables</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L-IVHH24G50-OM4-2.0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2024-09-19T09:32:02+00:00</dcterms:created>
  <dcterms:modified xsi:type="dcterms:W3CDTF">2024-09-19T09:32:02+00:00</dcterms:modified>
</cp:coreProperties>
</file>

<file path=docProps/custom.xml><?xml version="1.0" encoding="utf-8"?>
<Properties xmlns="http://schemas.openxmlformats.org/officeDocument/2006/custom-properties" xmlns:vt="http://schemas.openxmlformats.org/officeDocument/2006/docPropsVTypes"/>
</file>