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 cord RJ45/RJ45 Hirose w. tde boot Cat.5e UC300 LSHF Crossover Colour: yellow,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UC300 HS26 Cat.5e</w:t>
            </w:r>
          </w:p>
        </w:tc>
      </w:tr>
      <w:tr>
        <w:trPr/>
        <w:tc>
          <w:tcPr>
            <w:tcW w:w="2500" w:type="dxa"/>
            <w:shd w:val="clear" w:fill="D9D9D9"/>
          </w:tcPr>
          <w:p>
            <w:pPr/>
            <w:r>
              <w:rPr/>
              <w:t xml:space="preserve">Configuration</w:t>
            </w:r>
          </w:p>
        </w:tc>
        <w:tc>
          <w:tcPr>
            <w:tcW w:w="7500" w:type="dxa"/>
          </w:tcPr>
          <w:p>
            <w:pPr/>
            <w:r>
              <w:rPr/>
              <w:t xml:space="preserve">Crossover</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(TM11), with integreted dwell lever protection</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stranded bare copper wire Ø 0.48 mm (AWG 26/1)</w:t>
            </w:r>
          </w:p>
        </w:tc>
      </w:tr>
      <w:tr>
        <w:trPr/>
        <w:tc>
          <w:tcPr>
            <w:tcW w:w="2500" w:type="dxa"/>
            <w:shd w:val="clear" w:fill="D9D9D9"/>
          </w:tcPr>
          <w:p>
            <w:pPr/>
            <w:r>
              <w:rPr/>
              <w:t xml:space="preserve">Insulation</w:t>
            </w:r>
          </w:p>
        </w:tc>
        <w:tc>
          <w:tcPr>
            <w:tcW w:w="7500" w:type="dxa"/>
          </w:tcPr>
          <w:p>
            <w:pPr/>
            <w:r>
              <w:rPr/>
              <w:t xml:space="preserve">Polyethylene, Ø 0.95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Cable lay up</w:t>
            </w:r>
          </w:p>
        </w:tc>
        <w:tc>
          <w:tcPr>
            <w:tcW w:w="7500" w:type="dxa"/>
          </w:tcPr>
          <w:p>
            <w:pPr/>
            <w:r>
              <w:rPr/>
              <w:t xml:space="preserve">4 pairs to the core</w:t>
            </w:r>
          </w:p>
        </w:tc>
      </w:tr>
      <w:tr>
        <w:trPr/>
        <w:tc>
          <w:tcPr>
            <w:tcW w:w="2500" w:type="dxa"/>
            <w:shd w:val="clear" w:fill="D9D9D9"/>
          </w:tcPr>
          <w:p>
            <w:pPr/>
            <w:r>
              <w:rPr/>
              <w:t xml:space="preserve">Sreen</w:t>
            </w:r>
          </w:p>
        </w:tc>
        <w:tc>
          <w:tcPr>
            <w:tcW w:w="7500" w:type="dxa"/>
          </w:tcPr>
          <w:p>
            <w:pPr/>
            <w:r>
              <w:rPr/>
              <w:t xml:space="preserve">Al-laminated plastic foil + Copper braid, tinned</w:t>
            </w:r>
          </w:p>
        </w:tc>
      </w:tr>
      <w:tr>
        <w:trPr/>
        <w:tc>
          <w:tcPr>
            <w:tcW w:w="2500" w:type="dxa"/>
            <w:shd w:val="clear" w:fill="D9D9D9"/>
          </w:tcPr>
          <w:p>
            <w:pPr/>
            <w:r>
              <w:rPr/>
              <w:t xml:space="preserve">Sheath</w:t>
            </w:r>
          </w:p>
        </w:tc>
        <w:tc>
          <w:tcPr>
            <w:tcW w:w="7500" w:type="dxa"/>
          </w:tcPr>
          <w:p>
            <w:pPr/>
            <w:r>
              <w:rPr/>
              <w:t xml:space="preserve">PVC or 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48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1200 pF/km</w:t>
            </w:r>
          </w:p>
        </w:tc>
      </w:tr>
      <w:tr>
        <w:trPr/>
        <w:tc>
          <w:tcPr>
            <w:tcW w:w="2500" w:type="dxa"/>
            <w:shd w:val="clear" w:fill="D9D9D9"/>
          </w:tcPr>
          <w:p>
            <w:pPr/>
            <w:r>
              <w:rPr/>
              <w:t xml:space="preserve">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20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30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50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5.7 mm</w:t>
            </w:r>
          </w:p>
        </w:tc>
      </w:tr>
      <w:tr>
        <w:trPr/>
        <w:tc>
          <w:tcPr>
            <w:tcW w:w="2500" w:type="dxa"/>
            <w:shd w:val="clear" w:fill="D9D9D9"/>
          </w:tcPr>
          <w:p>
            <w:pPr/>
            <w:r>
              <w:rPr/>
              <w:t xml:space="preserve">Fire load</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Weight</w:t>
            </w:r>
          </w:p>
        </w:tc>
        <w:tc>
          <w:tcPr>
            <w:tcW w:w="7500" w:type="dxa"/>
          </w:tcPr>
          <w:p>
            <w:pPr/>
            <w:r>
              <w:rPr/>
              <w:t xml:space="preserve">37 kg/km</w:t>
            </w:r>
          </w:p>
        </w:tc>
      </w:tr>
      <w:tr>
        <w:trPr/>
        <w:tc>
          <w:tcPr>
            <w:tcW w:w="2500" w:type="dxa"/>
            <w:shd w:val="clear" w:fill="D9D9D9"/>
          </w:tcPr>
          <w:p>
            <w:pPr/>
            <w:r>
              <w:rPr/>
              <w:t xml:space="preserve">Copper content</w:t>
            </w:r>
          </w:p>
        </w:tc>
        <w:tc>
          <w:tcPr>
            <w:tcW w:w="7500" w:type="dxa"/>
          </w:tcPr>
          <w:p>
            <w:pPr/>
            <w:r>
              <w:rPr/>
              <w:t xml:space="preserve">22.5</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SF-H5ZGEE-NGExxxx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2024-04-25T10:00:31+00:00</dcterms:created>
  <dcterms:modified xsi:type="dcterms:W3CDTF">2024-04-25T10:00:31+00:00</dcterms:modified>
</cp:coreProperties>
</file>

<file path=docProps/custom.xml><?xml version="1.0" encoding="utf-8"?>
<Properties xmlns="http://schemas.openxmlformats.org/officeDocument/2006/custom-properties" xmlns:vt="http://schemas.openxmlformats.org/officeDocument/2006/docPropsVTypes"/>
</file>