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tSML - LWL Modul 19"/0.5HE gewinkelt 4x MPO/MTP® Male/24x LC Duplex 50/125µ OM3
</w:t>
      </w:r>
    </w:p>
    <w:p>
      <w:pPr/>
      <w:r>
        <w:rPr/>
        <w:t xml:space="preserve">**tSML - tde Semi Modular Link
</w:t>
      </w:r>
    </w:p>
    <w:p>
      <w:pPr/>
      <w:r>
        <w:rPr/>
        <w:t xml:space="preserve">tSML ist ein modular aufgebautes Verkabelungssystem, das aus zwei Kernkomponenten besteht: Modul und Trunkkabel. Es handelt sich hierbei um vorkonfektionierte getestete Systemkomponenten, die vor Ort insbesondere in Rechenzentren eine Plug &amp; Play Installation innerhalb kürzester Zeit ermöglichen. Die LWL und TP Module können mit ihren Abmessungen von 19" 0,5HE zusammen innerhalb einer Höheneinheit mit sehr hoher Portdichte kombiniert eingesetzt werden. Bis zu 96x LWL Duplex bzw. 48x RJ45 Ports sind so auf 1HE möglich. Das Herz des Systems sind die rückseitigen MPO/MTP® und Telco Steckverbinder, über die mindestens 6 Ports mit 10GbE bzw. GbE Performance auf einmal verbunden werden können.
</w:t>
      </w:r>
    </w:p>
    <w:p>
      <w:pPr/>
      <w:r>
        <w:rPr/>
        <w:t xml:space="preserve">**tSML - LWL Module 19"/ 0.5HE gewinkelt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Edelstahl</w:t>
            </w:r>
          </w:p>
        </w:tc>
      </w:t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Eingang</w:t>
            </w:r>
          </w:p>
        </w:tc>
        <w:tc>
          <w:tcPr>
            <w:tcW w:w="7500" w:type="dxa"/>
          </w:tcPr>
          <w:p>
            <w:pPr/>
            <w:r>
              <w:rPr/>
              <w:t xml:space="preserve">4 x MPO/MTP® Male Kupplungen (aqua) rückseitig</w:t>
            </w:r>
          </w:p>
        </w:tc>
      </w:tr>
      <w:tr>
        <w:trPr/>
        <w:tc>
          <w:tcPr>
            <w:tcW w:w="2500" w:type="dxa"/>
            <w:shd w:val="clear" w:fill="D9D9D9"/>
          </w:tcPr>
          <w:p>
            <w:pPr/>
            <w:r>
              <w:rPr/>
              <w:t xml:space="preserve">Ausgang</w:t>
            </w:r>
          </w:p>
        </w:tc>
        <w:tc>
          <w:tcPr>
            <w:tcW w:w="7500" w:type="dxa"/>
          </w:tcPr>
          <w:p>
            <w:pPr/>
            <w:r>
              <w:rPr/>
              <w:t xml:space="preserve">24 x LC Duplex Kupplungen (aqua) frontseitig</w:t>
            </w:r>
          </w:p>
        </w:tc>
      </w:tr>
      <w:tr>
        <w:trPr/>
        <w:tc>
          <w:tcPr>
            <w:tcW w:w="2500" w:type="dxa"/>
            <w:shd w:val="clear" w:fill="D9D9D9"/>
          </w:tcPr>
          <w:p>
            <w:pPr/>
            <w:r>
              <w:rPr/>
              <w:t xml:space="preserve">Maße</w:t>
            </w:r>
          </w:p>
        </w:tc>
        <w:tc>
          <w:tcPr>
            <w:tcW w:w="7500" w:type="dxa"/>
          </w:tcPr>
          <w:p>
            <w:pPr/>
            <w:r>
              <w:rPr/>
              <w:t xml:space="preserve">19", 0.5 HE, Tiefe: 10.5 cm (außen) / 20.5 cm (mittig)</w:t>
            </w:r>
          </w:p>
        </w:tc>
      </w:tr>
      <w:tr>
        <w:trPr/>
        <w:tc>
          <w:tcPr>
            <w:tcW w:w="2500" w:type="dxa"/>
            <w:shd w:val="clear" w:fill="D9D9D9"/>
          </w:tcPr>
          <w:p>
            <w:pPr/>
            <w:r>
              <w:rPr/>
              <w:t xml:space="preserve">Beschriftung</w:t>
            </w:r>
          </w:p>
        </w:tc>
        <w:tc>
          <w:tcPr>
            <w:tcW w:w="7500" w:type="dxa"/>
          </w:tcPr>
          <w:p>
            <w:pPr/>
            <w:r>
              <w:rPr/>
              <w:t xml:space="preserve">frontseitiger Siebdruck</w:t>
            </w:r>
          </w:p>
        </w:tc>
      </w:tr>
      <w:tr>
        <w:trPr/>
        <w:tc>
          <w:tcPr>
            <w:tcW w:w="2500" w:type="dxa"/>
            <w:shd w:val="clear" w:fill="D9D9D9"/>
          </w:tcPr>
          <w:p>
            <w:pPr/>
            <w:r>
              <w:rPr/>
              <w:t xml:space="preserve"> </w:t>
            </w:r>
          </w:p>
        </w:tc>
        <w:tc>
          <w:tcPr>
            <w:tcW w:w="7500" w:type="dxa"/>
          </w:tcPr>
          <w:p>
            <w:pPr/>
            <w:r>
              <w:rPr/>
              <w:t xml:space="preserve">19" Befestigungsset beigelegt</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***tSML - LWL Module 19"/ 0.5HE gewinkelt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Edelstahl</w:t>
            </w:r>
          </w:p>
        </w:tc>
      </w:tr>
      <w:tr>
        <w:trPr/>
        <w:tc>
          <w:tcPr>
            <w:tcW w:w="2500" w:type="dxa"/>
            <w:shd w:val="clear" w:fill="D9D9D9"/>
          </w:tcPr>
          <w:p>
            <w:pPr/>
            <w:r>
              <w:rPr/>
              <w:t xml:space="preserve">Frontplatte</w:t>
            </w:r>
          </w:p>
        </w:tc>
        <w:tc>
          <w:tcPr>
            <w:tcW w:w="7500" w:type="dxa"/>
          </w:tcPr>
          <w:p>
            <w:pPr/>
            <w:r>
              <w:rPr/>
              <w:t xml:space="preserve">Edelstahl</w:t>
            </w:r>
          </w:p>
        </w:tc>
      </w:tr>
      <w:tr>
        <w:trPr/>
        <w:tc>
          <w:tcPr>
            <w:tcW w:w="2500" w:type="dxa"/>
            <w:shd w:val="clear" w:fill="D9D9D9"/>
          </w:tcPr>
          <w:p>
            <w:pPr/>
            <w:r>
              <w:rPr/>
              <w:t xml:space="preserve">Abmessungen</w:t>
            </w:r>
          </w:p>
        </w:tc>
        <w:tc>
          <w:tcPr>
            <w:tcW w:w="7500" w:type="dxa"/>
          </w:tcPr>
          <w:p>
            <w:pPr/>
            <w:r>
              <w:rPr/>
              <w:t xml:space="preserve">19", 0.5 HE, Tiefe: 10.5 cm (außen) / 20.5 cm (mittig)</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LC Duplex</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One-Piece 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Keramik</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p>
      <w:pPr/>
      <w:r>
        <w:rPr/>
        <w:t xml:space="preserve">***LWL Adapter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MPO/MTP®</w:t>
            </w:r>
          </w:p>
        </w:tc>
      </w:tr>
      <w:tr>
        <w:trPr/>
        <w:tc>
          <w:tcPr>
            <w:tcW w:w="2500" w:type="dxa"/>
            <w:shd w:val="clear" w:fill="D9D9D9"/>
          </w:tcPr>
          <w:p>
            <w:pPr/>
            <w:r>
              <w:rPr/>
              <w:t xml:space="preserve">Anwendung</w:t>
            </w:r>
          </w:p>
        </w:tc>
        <w:tc>
          <w:tcPr>
            <w:tcW w:w="7500" w:type="dxa"/>
          </w:tcPr>
          <w:p>
            <w:pPr/>
            <w:r>
              <w:rPr/>
              <w:t xml:space="preserve">Multimode OM3</w:t>
            </w:r>
          </w:p>
        </w:tc>
      </w:tr>
      <w:tr>
        <w:trPr/>
        <w:tc>
          <w:tcPr>
            <w:tcW w:w="2500" w:type="dxa"/>
            <w:shd w:val="clear" w:fill="D9D9D9"/>
          </w:tcPr>
          <w:p>
            <w:pPr/>
            <w:r>
              <w:rPr/>
              <w:t xml:space="preserve">Bauform</w:t>
            </w:r>
          </w:p>
        </w:tc>
        <w:tc>
          <w:tcPr>
            <w:tcW w:w="7500" w:type="dxa"/>
          </w:tcPr>
          <w:p>
            <w:pPr/>
            <w:r>
              <w:rPr/>
              <w:t xml:space="preserve">ohne Flansch</w:t>
            </w:r>
          </w:p>
        </w:tc>
      </w:tr>
      <w:tr>
        <w:trPr/>
        <w:tc>
          <w:tcPr>
            <w:tcW w:w="2500" w:type="dxa"/>
            <w:shd w:val="clear" w:fill="D9D9D9"/>
          </w:tcPr>
          <w:p>
            <w:pPr/>
            <w:r>
              <w:rPr/>
              <w:t xml:space="preserve">Einbauform</w:t>
            </w:r>
          </w:p>
        </w:tc>
        <w:tc>
          <w:tcPr>
            <w:tcW w:w="7500" w:type="dxa"/>
          </w:tcPr>
          <w:p>
            <w:pPr/>
            <w:r>
              <w:rPr/>
              <w:t xml:space="preserve">SC Simplex</w:t>
            </w:r>
          </w:p>
        </w:tc>
      </w:tr>
      <w:tr>
        <w:trPr/>
        <w:tc>
          <w:tcPr>
            <w:tcW w:w="2500" w:type="dxa"/>
            <w:shd w:val="clear" w:fill="D9D9D9"/>
          </w:tcPr>
          <w:p>
            <w:pPr/>
            <w:r>
              <w:rPr/>
              <w:t xml:space="preserve">Orientierung</w:t>
            </w:r>
          </w:p>
        </w:tc>
        <w:tc>
          <w:tcPr>
            <w:tcW w:w="7500" w:type="dxa"/>
          </w:tcPr>
          <w:p>
            <w:pPr/>
            <w:r>
              <w:rPr/>
              <w:t xml:space="preserve">Typ A, Key up/down</w:t>
            </w:r>
          </w:p>
        </w:tc>
      </w:tr>
      <w:tr>
        <w:trPr/>
        <w:tc>
          <w:tcPr>
            <w:tcW w:w="2500" w:type="dxa"/>
            <w:shd w:val="clear" w:fill="D9D9D9"/>
          </w:tcPr>
          <w:p>
            <w:pPr/>
            <w:r>
              <w:rPr/>
              <w:t xml:space="preserve">Farbe</w:t>
            </w:r>
          </w:p>
        </w:tc>
        <w:tc>
          <w:tcPr>
            <w:tcW w:w="7500" w:type="dxa"/>
          </w:tcPr>
          <w:p>
            <w:pPr/>
            <w:r>
              <w:rPr/>
              <w:t xml:space="preserve">Aqua</w:t>
            </w:r>
          </w:p>
        </w:tc>
      </w:tr>
      <w:tr>
        <w:trPr/>
        <w:tc>
          <w:tcPr>
            <w:tcW w:w="2500" w:type="dxa"/>
            <w:shd w:val="clear" w:fill="D9D9D9"/>
          </w:tcPr>
          <w:p>
            <w:pPr/>
            <w:r>
              <w:rPr/>
              <w:t xml:space="preserve">Material</w:t>
            </w:r>
          </w:p>
        </w:tc>
        <w:tc>
          <w:tcPr>
            <w:tcW w:w="7500" w:type="dxa"/>
          </w:tcPr>
          <w:p>
            <w:pPr/>
            <w:r>
              <w:rPr/>
              <w:t xml:space="preserve">Kunststoff</w:t>
            </w:r>
          </w:p>
        </w:tc>
      </w:tr>
      <w:tr>
        <w:trPr/>
        <w:tc>
          <w:tcPr>
            <w:tcW w:w="2500" w:type="dxa"/>
            <w:shd w:val="clear" w:fill="D9D9D9"/>
          </w:tcPr>
          <w:p>
            <w:pPr/>
            <w:r>
              <w:rPr/>
              <w:t xml:space="preserve">Hülse</w:t>
            </w:r>
          </w:p>
        </w:tc>
        <w:tc>
          <w:tcPr>
            <w:tcW w:w="7500" w:type="dxa"/>
          </w:tcPr>
          <w:p>
            <w:pPr/>
            <w:r>
              <w:rPr/>
              <w:t xml:space="preserve">--</w:t>
            </w:r>
          </w:p>
        </w:tc>
      </w:tr>
      <w:tr>
        <w:trPr/>
        <w:tc>
          <w:tcPr>
            <w:tcW w:w="2500" w:type="dxa"/>
            <w:shd w:val="clear" w:fill="D9D9D9"/>
          </w:tcPr>
          <w:p>
            <w:pPr/>
            <w:r>
              <w:rPr/>
              <w:t xml:space="preserve">Klappe</w:t>
            </w:r>
          </w:p>
        </w:tc>
        <w:tc>
          <w:tcPr>
            <w:tcW w:w="7500" w:type="dxa"/>
          </w:tcPr>
          <w:p>
            <w:pPr/>
            <w:r>
              <w:rPr/>
              <w:t xml:space="preserve">--</w:t>
            </w:r>
          </w:p>
        </w:tc>
      </w:tr>
      <w:tr>
        <w:trPr/>
        <w:tc>
          <w:tcPr>
            <w:tcW w:w="2500" w:type="dxa"/>
            <w:shd w:val="clear" w:fill="D9D9D9"/>
          </w:tcPr>
          <w:p>
            <w:pPr/>
            <w:r>
              <w:rPr/>
              <w:t xml:space="preserve">Standards</w:t>
            </w:r>
          </w:p>
        </w:tc>
        <w:tc>
          <w:tcPr>
            <w:tcW w:w="7500" w:type="dxa"/>
          </w:tcPr>
          <w:p>
            <w:pPr/>
            <w:r>
              <w:rPr/>
              <w:t xml:space="preserve">IEC 61754-7 TIA 604-5Hersteller</w:t>
            </w:r>
          </w:p>
        </w:tc>
      </w:tr>
      <w:tr>
        <w:trPr/>
        <w:tc>
          <w:tcPr>
            <w:tcW w:w="2500" w:type="dxa"/>
            <w:shd w:val="clear" w:fill="D9D9D9"/>
          </w:tcPr>
          <w:p>
            <w:pPr/>
            <w:r>
              <w:rPr/>
              <w:t xml:space="preserve">Hersteller</w:t>
            </w:r>
          </w:p>
        </w:tc>
        <w:tc>
          <w:tcPr>
            <w:tcW w:w="7500" w:type="dxa"/>
          </w:tcPr>
          <w:p>
            <w:pPr/>
            <w:r>
              <w:rPr/>
              <w:t xml:space="preserve">US Conec</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Male Push Pull Verriegelung (aqua)</w:t>
            </w:r>
          </w:p>
        </w:tc>
      </w:tr>
      <w:tr>
        <w:trPr/>
        <w:tc>
          <w:tcPr>
            <w:tcW w:w="2500" w:type="dxa"/>
            <w:shd w:val="clear" w:fill="D9D9D9"/>
          </w:tcPr>
          <w:p>
            <w:pPr/>
            <w:r>
              <w:rPr/>
              <w:t xml:space="preserve">Ferrule</w:t>
            </w:r>
          </w:p>
        </w:tc>
        <w:tc>
          <w:tcPr>
            <w:tcW w:w="7500" w:type="dxa"/>
          </w:tcPr>
          <w:p>
            <w:pPr/>
            <w:r>
              <w:rPr/>
              <w:t xml:space="preserve">12 Faser MM Elite® Ferrule, PPS</w:t>
            </w:r>
          </w:p>
        </w:tc>
      </w:tr>
      <w:tr>
        <w:trPr/>
        <w:tc>
          <w:tcPr>
            <w:tcW w:w="2500" w:type="dxa"/>
            <w:shd w:val="clear" w:fill="D9D9D9"/>
          </w:tcPr>
          <w:p>
            <w:pPr/>
            <w:r>
              <w:rPr/>
              <w:t xml:space="preserve">Tüllenfarbe</w:t>
            </w:r>
          </w:p>
        </w:tc>
        <w:tc>
          <w:tcPr>
            <w:tcW w:w="7500" w:type="dxa"/>
          </w:tcPr>
          <w:p>
            <w:pPr/>
            <w:r>
              <w:rPr/>
              <w:t xml:space="preserve">Schwarz</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0.14 dB</w:t>
            </w:r>
          </w:p>
        </w:tc>
        <w:tc>
          <w:tcPr/>
          <w:p>
            <w:pPr/>
            <w:r>
              <w:rPr/>
              <w:t xml:space="preserve">0.25 dB</w:t>
            </w:r>
          </w:p>
        </w:tc>
        <w:tc>
          <w:tcPr/>
          <w:p>
            <w:pPr/>
            <w:r>
              <w:rPr/>
              <w:t xml:space="preserve">35 dB</w:t>
            </w:r>
          </w:p>
        </w:tc>
      </w:tr>
    </w:tbl>
    <w:p>
      <w:pPr/>
      <w:r>
        <w:rPr/>
        <w:t xml:space="preserve"/>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Türkis</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LC</w:t>
            </w:r>
          </w:p>
        </w:tc>
        <w:tc>
          <w:tcPr/>
          <w:p>
            <w:pPr/>
            <w:r>
              <w:rPr/>
              <w:t xml:space="preserve">850 nm</w:t>
            </w:r>
          </w:p>
        </w:tc>
        <w:tc>
          <w:tcPr/>
          <w:p>
            <w:pPr/>
            <w:r>
              <w:rPr/>
              <w:t xml:space="preserve">≤ 0.20 dB</w:t>
            </w:r>
          </w:p>
        </w:tc>
        <w:tc>
          <w:tcPr/>
          <w:p>
            <w:pPr/>
            <w:r>
              <w:rPr/>
              <w:t xml:space="preserve">0.35 dB</w:t>
            </w:r>
          </w:p>
        </w:tc>
        <w:tc>
          <w:tcPr/>
          <w:p>
            <w:pPr/>
            <w:r>
              <w:rPr/>
              <w:t xml:space="preserve">30 dB</w:t>
            </w:r>
          </w:p>
        </w:tc>
      </w:tr>
    </w:tbl>
    <w:p>
      <w:pPr/>
      <w:r>
        <w:rPr/>
        <w:t xml:space="preserve">IL bei 97% gemessen nach IEC 61300-3-4 unter Laborbedingungen.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TSML-MS24LCD/MPP50G3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2025-04-03T19:13:28+00:00</dcterms:created>
  <dcterms:modified xsi:type="dcterms:W3CDTF">2025-04-03T19:13:28+00:00</dcterms:modified>
</cp:coreProperties>
</file>

<file path=docProps/custom.xml><?xml version="1.0" encoding="utf-8"?>
<Properties xmlns="http://schemas.openxmlformats.org/officeDocument/2006/custom-properties" xmlns:vt="http://schemas.openxmlformats.org/officeDocument/2006/docPropsVTypes"/>
</file>