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Trunkkabel 2x MPO Female/2x MPO Female 24G50/125µ OM4 LSHF, Typ C, Länge xxx in m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Trunkkabel MPO/MTP®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Universalkabel</w:t>
            </w:r>
          </w:p>
        </w:tc>
      </w:tr>
      <w:tr>
        <w:trPr/>
        <w:tc>
          <w:tcPr>
            <w:tcW w:w="2500" w:type="dxa"/>
            <w:shd w:val="clear" w:fill="D9D9D9"/>
          </w:tcPr>
          <w:p>
            <w:pPr/>
            <w:r>
              <w:rPr/>
              <w:t xml:space="preserve">Stecker</w:t>
            </w:r>
          </w:p>
        </w:tc>
        <w:tc>
          <w:tcPr>
            <w:tcW w:w="7500" w:type="dxa"/>
          </w:tcPr>
          <w:p>
            <w:pPr/>
            <w:r>
              <w:rPr/>
              <w:t xml:space="preserve">MPO/MTP®Push Pull Verriegelung (magenta)</w:t>
            </w:r>
          </w:p>
        </w:tc>
      </w:tr>
      <w:tr>
        <w:trPr/>
        <w:tc>
          <w:tcPr>
            <w:tcW w:w="2500" w:type="dxa"/>
            <w:shd w:val="clear" w:fill="D9D9D9"/>
          </w:tcPr>
          <w:p>
            <w:pPr/>
            <w:r>
              <w:rPr/>
              <w:t xml:space="preserve">Belegung</w:t>
            </w:r>
          </w:p>
        </w:tc>
        <w:tc>
          <w:tcPr>
            <w:tcW w:w="7500" w:type="dxa"/>
          </w:tcPr>
          <w:p>
            <w:pPr/>
            <w:r>
              <w:rPr/>
              <w:t xml:space="preserve">Methode C</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50 mm</w:t>
            </w:r>
          </w:p>
        </w:tc>
      </w:tr>
      <w:tr>
        <w:trPr/>
        <w:tc>
          <w:tcPr>
            <w:tcW w:w="2500" w:type="dxa"/>
            <w:shd w:val="clear" w:fill="D9D9D9"/>
          </w:tcPr>
          <w:p>
            <w:pPr/>
            <w:r>
              <w:rPr/>
              <w:t xml:space="preserve">Ø Aufteiler</w:t>
            </w:r>
          </w:p>
        </w:tc>
        <w:tc>
          <w:tcPr>
            <w:tcW w:w="7500" w:type="dxa"/>
          </w:tcPr>
          <w:p>
            <w:pPr/>
            <w:r>
              <w:rPr/>
              <w:t xml:space="preserve">16 mm</w:t>
            </w:r>
          </w:p>
        </w:tc>
      </w:tr>
      <w:tr>
        <w:trPr/>
        <w:tc>
          <w:tcPr>
            <w:tcW w:w="2500" w:type="dxa"/>
            <w:shd w:val="clear" w:fill="D9D9D9"/>
          </w:tcPr>
          <w:p>
            <w:pPr/>
            <w:r>
              <w:rPr/>
              <w:t xml:space="preserve">Ø Peitsche</w:t>
            </w:r>
          </w:p>
        </w:tc>
        <w:tc>
          <w:tcPr>
            <w:tcW w:w="7500" w:type="dxa"/>
          </w:tcPr>
          <w:p>
            <w:pPr/>
            <w:r>
              <w:rPr/>
              <w:t xml:space="preserve">3.0 mm</w:t>
            </w:r>
          </w:p>
        </w:tc>
      </w:tr>
      <w:tr>
        <w:trPr/>
        <w:tc>
          <w:tcPr>
            <w:tcW w:w="2500" w:type="dxa"/>
            <w:shd w:val="clear" w:fill="D9D9D9"/>
          </w:tcPr>
          <w:p>
            <w:pPr/>
            <w:r>
              <w:rPr/>
              <w:t xml:space="preserve">Peitschenlänge</w:t>
            </w:r>
          </w:p>
        </w:tc>
        <w:tc>
          <w:tcPr>
            <w:tcW w:w="7500" w:type="dxa"/>
          </w:tcPr>
          <w:p>
            <w:pPr/>
            <w:r>
              <w:rPr/>
              <w:t xml:space="preserve">78 ± 5 cm (nicht gestuft)</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Temperaturbereich</w:t>
            </w:r>
          </w:p>
        </w:tc>
        <w:tc>
          <w:tcPr>
            <w:tcW w:w="7500" w:type="dxa"/>
          </w:tcPr>
          <w:p>
            <w:pPr/>
            <w:r>
              <w:rPr/>
              <w:t xml:space="preserve">Lagerung -25 bis +70°C, IEC 60794-1-22 F1</w:t>
            </w:r>
          </w:p>
        </w:tc>
      </w:tr>
      <w:tr>
        <w:trPr/>
        <w:tc>
          <w:tcPr>
            <w:tcW w:w="2500" w:type="dxa"/>
            <w:shd w:val="clear" w:fill="D9D9D9"/>
          </w:tcPr>
          <w:p>
            <w:pPr/>
            <w:r>
              <w:rPr/>
              <w:t xml:space="preserve"> </w:t>
            </w:r>
          </w:p>
        </w:tc>
        <w:tc>
          <w:tcPr>
            <w:tcW w:w="7500" w:type="dxa"/>
          </w:tcPr>
          <w:p>
            <w:pPr/>
            <w:r>
              <w:rPr/>
              <w:t xml:space="preserve">Einzug -10 bis +50°C</w:t>
            </w:r>
          </w:p>
        </w:tc>
      </w:tr>
      <w:tr>
        <w:trPr/>
        <w:tc>
          <w:tcPr>
            <w:tcW w:w="2500" w:type="dxa"/>
            <w:shd w:val="clear" w:fill="D9D9D9"/>
          </w:tcPr>
          <w:p>
            <w:pPr/>
            <w:r>
              <w:rPr/>
              <w:t xml:space="preserve"> </w:t>
            </w:r>
          </w:p>
        </w:tc>
        <w:tc>
          <w:tcPr>
            <w:tcW w:w="7500" w:type="dxa"/>
          </w:tcPr>
          <w:p>
            <w:pPr/>
            <w:r>
              <w:rPr/>
              <w:t xml:space="preserve">Betrieb -25 bis +60°C</w:t>
            </w:r>
          </w:p>
        </w:tc>
      </w:tr>
      <w:tr>
        <w:trPr/>
        <w:tc>
          <w:tcPr>
            <w:tcW w:w="2500" w:type="dxa"/>
            <w:shd w:val="clear" w:fill="D9D9D9"/>
          </w:tcPr>
          <w:p>
            <w:pPr/>
            <w:r>
              <w:rPr/>
              <w:t xml:space="preserve">Zugfestigkeit</w:t>
            </w:r>
          </w:p>
        </w:tc>
        <w:tc>
          <w:tcPr>
            <w:tcW w:w="7500" w:type="dxa"/>
          </w:tcPr>
          <w:p>
            <w:pPr/>
            <w:r>
              <w:rPr/>
              <w:t xml:space="preserve">IEC 60794-1-21 E1</w:t>
            </w:r>
          </w:p>
        </w:tc>
      </w:tr>
      <w:tr>
        <w:trPr/>
        <w:tc>
          <w:tcPr>
            <w:tcW w:w="2500" w:type="dxa"/>
            <w:shd w:val="clear" w:fill="D9D9D9"/>
          </w:tcPr>
          <w:p>
            <w:pPr/>
            <w:r>
              <w:rPr/>
              <w:t xml:space="preserve">Querdruck</w:t>
            </w:r>
          </w:p>
        </w:tc>
        <w:tc>
          <w:tcPr>
            <w:tcW w:w="7500" w:type="dxa"/>
          </w:tcPr>
          <w:p>
            <w:pPr/>
            <w:r>
              <w:rPr/>
              <w:t xml:space="preserve">IEC 60794-1-21 E3</w:t>
            </w:r>
          </w:p>
        </w:tc>
      </w:tr>
      <w:tr>
        <w:trPr/>
        <w:tc>
          <w:tcPr>
            <w:tcW w:w="2500" w:type="dxa"/>
            <w:shd w:val="clear" w:fill="D9D9D9"/>
          </w:tcPr>
          <w:p>
            <w:pPr/>
            <w:r>
              <w:rPr/>
              <w:t xml:space="preserve">Schlag</w:t>
            </w:r>
          </w:p>
        </w:tc>
        <w:tc>
          <w:tcPr>
            <w:tcW w:w="7500" w:type="dxa"/>
          </w:tcPr>
          <w:p>
            <w:pPr/>
            <w:r>
              <w:rPr/>
              <w:t xml:space="preserve">IEC 60794-1-21 E4</w:t>
            </w:r>
          </w:p>
        </w:tc>
      </w:tr>
      <w:tr>
        <w:trPr/>
        <w:tc>
          <w:tcPr>
            <w:tcW w:w="2500" w:type="dxa"/>
            <w:shd w:val="clear" w:fill="D9D9D9"/>
          </w:tcPr>
          <w:p>
            <w:pPr/>
            <w:r>
              <w:rPr/>
              <w:t xml:space="preserve">Wiederholte Biegung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Kabelbiegung</w:t>
            </w:r>
          </w:p>
        </w:tc>
        <w:tc>
          <w:tcPr>
            <w:tcW w:w="7500" w:type="dxa"/>
          </w:tcPr>
          <w:p>
            <w:pPr/>
            <w:r>
              <w:rPr/>
              <w:t xml:space="preserve">IEC 60794-1-21 E11</w:t>
            </w:r>
          </w:p>
        </w:tc>
      </w:tr>
      <w:tr>
        <w:trPr/>
        <w:tc>
          <w:tcPr>
            <w:tcW w:w="2500" w:type="dxa"/>
            <w:shd w:val="clear" w:fill="D9D9D9"/>
          </w:tcPr>
          <w:p>
            <w:pPr/>
            <w:r>
              <w:rPr/>
              <w:t xml:space="preserve">Längswasserdichtigkeit</w:t>
            </w:r>
          </w:p>
        </w:tc>
        <w:tc>
          <w:tcPr>
            <w:tcW w:w="7500" w:type="dxa"/>
          </w:tcPr>
          <w:p>
            <w:pPr/>
            <w:r>
              <w:rPr/>
              <w:t xml:space="preserve">IEC 60794-1-21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Mantelfarbe</w:t>
            </w:r>
          </w:p>
        </w:tc>
        <w:tc>
          <w:tcPr>
            <w:tcW w:w="7500" w:type="dxa"/>
          </w:tcPr>
          <w:p>
            <w:pPr/>
            <w:r>
              <w:rPr/>
              <w:t xml:space="preserve">grün, ähnlich RAL 6016</w:t>
            </w:r>
          </w:p>
        </w:tc>
      </w:tr>
      <w:tr>
        <w:trPr/>
        <w:tc>
          <w:tcPr>
            <w:tcW w:w="2500" w:type="dxa"/>
            <w:shd w:val="clear" w:fill="D9D9D9"/>
          </w:tcPr>
          <w:p>
            <w:pPr/>
            <w:r>
              <w:rPr/>
              <w:t xml:space="preserve">Halogenfreiheit, Korrosivität</w:t>
            </w:r>
          </w:p>
        </w:tc>
        <w:tc>
          <w:tcPr>
            <w:tcW w:w="7500" w:type="dxa"/>
          </w:tcPr>
          <w:p>
            <w:pPr/>
            <w:r>
              <w:rPr/>
              <w:t xml:space="preserve">IEC 60754-1/-2, EN 60754-1/-2, VDE 0482-754-1/-2</w:t>
            </w:r>
          </w:p>
        </w:tc>
      </w:tr>
      <w:tr>
        <w:trPr/>
        <w:tc>
          <w:tcPr>
            <w:tcW w:w="2500" w:type="dxa"/>
            <w:shd w:val="clear" w:fill="D9D9D9"/>
          </w:tcPr>
          <w:p>
            <w:pPr/>
            <w:r>
              <w:rPr/>
              <w:t xml:space="preserve">Flammwidrigkeit</w:t>
            </w:r>
          </w:p>
        </w:tc>
        <w:tc>
          <w:tcPr>
            <w:tcW w:w="7500" w:type="dxa"/>
          </w:tcPr>
          <w:p>
            <w:pPr/>
            <w:r>
              <w:rPr/>
              <w:t xml:space="preserve">IEC 60332-1-2, EN 60332-1-2, VDE 0482-332-1-2</w:t>
            </w:r>
          </w:p>
        </w:tc>
      </w:tr>
      <w:tr>
        <w:trPr/>
        <w:tc>
          <w:tcPr>
            <w:tcW w:w="2500" w:type="dxa"/>
            <w:shd w:val="clear" w:fill="D9D9D9"/>
          </w:tcPr>
          <w:p>
            <w:pPr/>
            <w:r>
              <w:rPr/>
              <w:t xml:space="preserve">Brandfortleitung</w:t>
            </w:r>
          </w:p>
        </w:tc>
        <w:tc>
          <w:tcPr>
            <w:tcW w:w="7500" w:type="dxa"/>
          </w:tcPr>
          <w:p>
            <w:pPr/>
            <w:r>
              <w:rPr/>
              <w:t xml:space="preserve">IEC 60332.3 C, EN 50266-2-4, VDE 0482-266-2-4</w:t>
            </w:r>
          </w:p>
        </w:tc>
      </w:tr>
      <w:tr>
        <w:trPr/>
        <w:tc>
          <w:tcPr>
            <w:tcW w:w="2500" w:type="dxa"/>
            <w:shd w:val="clear" w:fill="D9D9D9"/>
          </w:tcPr>
          <w:p>
            <w:pPr/>
            <w:r>
              <w:rPr/>
              <w:t xml:space="preserve">Rauchgasdichte</w:t>
            </w:r>
          </w:p>
        </w:tc>
        <w:tc>
          <w:tcPr>
            <w:tcW w:w="7500" w:type="dxa"/>
          </w:tcPr>
          <w:p>
            <w:pPr/>
            <w:r>
              <w:rPr/>
              <w:t xml:space="preserve">IEC 61034-1/-2, EN 61034-1/-2, VDE 0482-1034-1/-2</w:t>
            </w:r>
          </w:p>
        </w:tc>
      </w:tr>
      <w:tr>
        <w:trPr/>
        <w:tc>
          <w:tcPr>
            <w:tcW w:w="2500" w:type="dxa"/>
            <w:shd w:val="clear" w:fill="D9D9D9"/>
          </w:tcPr>
          <w:p>
            <w:pPr/>
            <w:r>
              <w:rPr/>
              <w:t xml:space="preserve">Brandverhalten (Euroklassen)</w:t>
            </w:r>
          </w:p>
        </w:tc>
        <w:tc>
          <w:tcPr>
            <w:tcW w:w="7500" w:type="dxa"/>
          </w:tcPr>
          <w:p>
            <w:pPr/>
            <w:r>
              <w:rPr/>
              <w:t xml:space="preserve">EN 13501-6: Dca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Universal U-DQ(ZN)BH für innen und außen Anwendungen</w:t>
            </w:r>
          </w:p>
        </w:tc>
      </w:tr>
      <w:tr>
        <w:trPr/>
        <w:tc>
          <w:tcPr>
            <w:tcW w:w="2500" w:type="dxa"/>
            <w:shd w:val="clear" w:fill="D9D9D9"/>
          </w:tcPr>
          <w:p>
            <w:pPr/>
            <w:r>
              <w:rPr/>
              <w:t xml:space="preserve"> </w:t>
            </w:r>
          </w:p>
        </w:tc>
        <w:tc>
          <w:tcPr>
            <w:tcW w:w="7500" w:type="dxa"/>
          </w:tcPr>
          <w:p>
            <w:pPr/>
            <w:r>
              <w:rPr/>
              <w:t xml:space="preserve">metallfrei, trockene Verseilhohlräume, nagetiergeschützt, flammwidrig, entspricht IEC 60332.1 und IEC 60332.3 C</w:t>
            </w:r>
          </w:p>
        </w:tc>
      </w:tr>
      <w:tr>
        <w:trPr/>
        <w:tc>
          <w:tcPr>
            <w:tcW w:w="2500" w:type="dxa"/>
            <w:shd w:val="clear" w:fill="D9D9D9"/>
          </w:tcPr>
          <w:p>
            <w:pPr/>
            <w:r>
              <w:rPr/>
              <w:t xml:space="preserve">Fasertyp</w:t>
            </w:r>
          </w:p>
        </w:tc>
        <w:tc>
          <w:tcPr>
            <w:tcW w:w="7500" w:type="dxa"/>
          </w:tcPr>
          <w:p>
            <w:pPr/>
            <w:r>
              <w:rPr/>
              <w:t xml:space="preserve">Corning G50/125 OM4</w:t>
            </w:r>
          </w:p>
        </w:tc>
      </w:tr>
      <w:tr>
        <w:trPr/>
        <w:tc>
          <w:tcPr>
            <w:tcW w:w="2500" w:type="dxa"/>
            <w:shd w:val="clear" w:fill="D9D9D9"/>
          </w:tcPr>
          <w:p>
            <w:pPr/>
            <w:r>
              <w:rPr/>
              <w:t xml:space="preserve">Faserzahl</w:t>
            </w:r>
          </w:p>
        </w:tc>
        <w:tc>
          <w:tcPr>
            <w:tcW w:w="7500" w:type="dxa"/>
          </w:tcPr>
          <w:p>
            <w:pPr/>
            <w:r>
              <w:rPr/>
              <w:t xml:space="preserve">24</w:t>
            </w:r>
          </w:p>
        </w:tc>
      </w:tr>
      <w:tr>
        <w:trPr/>
        <w:tc>
          <w:tcPr>
            <w:tcW w:w="2500" w:type="dxa"/>
            <w:shd w:val="clear" w:fill="D9D9D9"/>
          </w:tcPr>
          <w:p>
            <w:pPr/>
            <w:r>
              <w:rPr/>
              <w:t xml:space="preserve">Bündeladern</w:t>
            </w:r>
          </w:p>
        </w:tc>
        <w:tc>
          <w:tcPr>
            <w:tcW w:w="7500" w:type="dxa"/>
          </w:tcPr>
          <w:p>
            <w:pPr/>
            <w:r>
              <w:rPr/>
              <w:t xml:space="preserve">2</w:t>
            </w:r>
          </w:p>
        </w:tc>
      </w:tr>
      <w:tr>
        <w:trPr/>
        <w:tc>
          <w:tcPr>
            <w:tcW w:w="2500" w:type="dxa"/>
            <w:shd w:val="clear" w:fill="D9D9D9"/>
          </w:tcPr>
          <w:p>
            <w:pPr/>
            <w:r>
              <w:rPr/>
              <w:t xml:space="preserve">øüber Mantel</w:t>
            </w:r>
          </w:p>
        </w:tc>
        <w:tc>
          <w:tcPr>
            <w:tcW w:w="7500" w:type="dxa"/>
          </w:tcPr>
          <w:p>
            <w:pPr/>
            <w:r>
              <w:rPr/>
              <w:t xml:space="preserve">9.5 mm</w:t>
            </w:r>
          </w:p>
        </w:tc>
      </w:tr>
      <w:tr>
        <w:trPr/>
        <w:tc>
          <w:tcPr>
            <w:tcW w:w="2500" w:type="dxa"/>
            <w:shd w:val="clear" w:fill="D9D9D9"/>
          </w:tcPr>
          <w:p>
            <w:pPr/>
            <w:r>
              <w:rPr/>
              <w:t xml:space="preserve">Gewicht</w:t>
            </w:r>
          </w:p>
        </w:tc>
        <w:tc>
          <w:tcPr>
            <w:tcW w:w="7500" w:type="dxa"/>
          </w:tcPr>
          <w:p>
            <w:pPr/>
            <w:r>
              <w:rPr/>
              <w:t xml:space="preserve">84 kg/km</w:t>
            </w:r>
          </w:p>
        </w:tc>
      </w:tr>
      <w:tr>
        <w:trPr/>
        <w:tc>
          <w:tcPr>
            <w:tcW w:w="2500" w:type="dxa"/>
            <w:shd w:val="clear" w:fill="D9D9D9"/>
          </w:tcPr>
          <w:p>
            <w:pPr/>
            <w:r>
              <w:rPr/>
              <w:t xml:space="preserve">Biegeradius</w:t>
            </w:r>
          </w:p>
        </w:tc>
        <w:tc>
          <w:tcPr>
            <w:tcW w:w="7500" w:type="dxa"/>
          </w:tcPr>
          <w:p>
            <w:pPr/>
            <w:r>
              <w:rPr/>
              <w:t xml:space="preserve">140 mm</w:t>
            </w:r>
          </w:p>
        </w:tc>
      </w:tr>
      <w:tr>
        <w:trPr/>
        <w:tc>
          <w:tcPr>
            <w:tcW w:w="2500" w:type="dxa"/>
            <w:shd w:val="clear" w:fill="D9D9D9"/>
          </w:tcPr>
          <w:p>
            <w:pPr/>
            <w:r>
              <w:rPr/>
              <w:t xml:space="preserve">Zugkraft kurzzeitig</w:t>
            </w:r>
          </w:p>
        </w:tc>
        <w:tc>
          <w:tcPr>
            <w:tcW w:w="7500" w:type="dxa"/>
          </w:tcPr>
          <w:p>
            <w:pPr/>
            <w:r>
              <w:rPr/>
              <w:t xml:space="preserve">4.000 N</w:t>
            </w:r>
          </w:p>
        </w:tc>
      </w:tr>
      <w:tr>
        <w:trPr/>
        <w:tc>
          <w:tcPr>
            <w:tcW w:w="2500" w:type="dxa"/>
            <w:shd w:val="clear" w:fill="D9D9D9"/>
          </w:tcPr>
          <w:p>
            <w:pPr/>
            <w:r>
              <w:rPr/>
              <w:t xml:space="preserve">Zugkraft dauernd</w:t>
            </w:r>
          </w:p>
        </w:tc>
        <w:tc>
          <w:tcPr>
            <w:tcW w:w="7500" w:type="dxa"/>
          </w:tcPr>
          <w:p>
            <w:pPr/>
            <w:r>
              <w:rPr/>
              <w:t xml:space="preserve">1.500 N</w:t>
            </w:r>
          </w:p>
        </w:tc>
      </w:tr>
      <w:tr>
        <w:trPr/>
        <w:tc>
          <w:tcPr>
            <w:tcW w:w="2500" w:type="dxa"/>
            <w:shd w:val="clear" w:fill="D9D9D9"/>
          </w:tcPr>
          <w:p>
            <w:pPr/>
            <w:r>
              <w:rPr/>
              <w:t xml:space="preserve">Querdruck kurzzeitig</w:t>
            </w:r>
          </w:p>
        </w:tc>
        <w:tc>
          <w:tcPr>
            <w:tcW w:w="7500" w:type="dxa"/>
          </w:tcPr>
          <w:p>
            <w:pPr/>
            <w:r>
              <w:rPr/>
              <w:t xml:space="preserve">5.000 N</w:t>
            </w:r>
          </w:p>
        </w:tc>
      </w:tr>
      <w:tr>
        <w:trPr/>
        <w:tc>
          <w:tcPr>
            <w:tcW w:w="2500" w:type="dxa"/>
            <w:shd w:val="clear" w:fill="D9D9D9"/>
          </w:tcPr>
          <w:p>
            <w:pPr/>
            <w:r>
              <w:rPr/>
              <w:t xml:space="preserve">Querdruck dauernd</w:t>
            </w:r>
          </w:p>
        </w:tc>
        <w:tc>
          <w:tcPr>
            <w:tcW w:w="7500" w:type="dxa"/>
          </w:tcPr>
          <w:p>
            <w:pPr/>
            <w:r>
              <w:rPr/>
              <w:t xml:space="preserve">3.000 N</w:t>
            </w:r>
          </w:p>
        </w:tc>
      </w:tr>
      <w:tr>
        <w:trPr/>
        <w:tc>
          <w:tcPr>
            <w:tcW w:w="2500" w:type="dxa"/>
            <w:shd w:val="clear" w:fill="D9D9D9"/>
          </w:tcPr>
          <w:p>
            <w:pPr/>
            <w:r>
              <w:rPr/>
              <w:t xml:space="preserve">Brandlast</w:t>
            </w:r>
          </w:p>
        </w:tc>
        <w:tc>
          <w:tcPr>
            <w:tcW w:w="7500" w:type="dxa"/>
          </w:tcPr>
          <w:p>
            <w:pPr/>
            <w:r>
              <w:rPr/>
              <w:t xml:space="preserve">430 kWh/km</w:t>
            </w:r>
          </w:p>
        </w:tc>
      </w:tr>
      <w:tr>
        <w:trPr/>
        <w:tc>
          <w:tcPr>
            <w:tcW w:w="2500" w:type="dxa"/>
            <w:shd w:val="clear" w:fill="D9D9D9"/>
          </w:tcPr>
          <w:p>
            <w:pPr/>
            <w:r>
              <w:rPr/>
              <w:t xml:space="preserve"> </w:t>
            </w:r>
          </w:p>
        </w:tc>
        <w:tc>
          <w:tcPr>
            <w:tcW w:w="7500" w:type="dxa"/>
          </w:tcPr>
          <w:p>
            <w:pPr/>
            <w:r>
              <w:rPr/>
              <w:t xml:space="preserve">1548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Toleranzen bei Längen bis 40m</w:t>
            </w:r>
          </w:p>
        </w:tc>
        <w:tc>
          <w:tcPr>
            <w:tcW w:w="7500" w:type="dxa"/>
          </w:tcPr>
          <w:p>
            <w:pPr/>
            <w:r>
              <w:rPr/>
              <w:t xml:space="preserve">± 100 cm</w:t>
            </w:r>
          </w:p>
        </w:tc>
      </w:tr>
      <w:tr>
        <w:trPr/>
        <w:tc>
          <w:tcPr>
            <w:tcW w:w="2500" w:type="dxa"/>
            <w:shd w:val="clear" w:fill="D9D9D9"/>
          </w:tcPr>
          <w:p>
            <w:pPr/>
            <w:r>
              <w:rPr/>
              <w:t xml:space="preserve">Toleranzen bei Längen bis 100m</w:t>
            </w:r>
          </w:p>
        </w:tc>
        <w:tc>
          <w:tcPr>
            <w:tcW w:w="7500" w:type="dxa"/>
          </w:tcPr>
          <w:p>
            <w:pPr/>
            <w:r>
              <w:rPr/>
              <w:t xml:space="preserve">± 100 cm</w:t>
            </w:r>
          </w:p>
        </w:tc>
      </w:tr>
      <w:tr>
        <w:trPr/>
        <w:tc>
          <w:tcPr>
            <w:tcW w:w="2500" w:type="dxa"/>
            <w:shd w:val="clear" w:fill="D9D9D9"/>
          </w:tcPr>
          <w:p>
            <w:pPr/>
            <w:r>
              <w:rPr/>
              <w:t xml:space="preserve">Toleranzen bei Längen ab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TSML-MP/MP50B24G4-xxx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2024-04-19T03:33:30+00:00</dcterms:created>
  <dcterms:modified xsi:type="dcterms:W3CDTF">2024-04-19T03:33:30+00:00</dcterms:modified>
</cp:coreProperties>
</file>

<file path=docProps/custom.xml><?xml version="1.0" encoding="utf-8"?>
<Properties xmlns="http://schemas.openxmlformats.org/officeDocument/2006/custom-properties" xmlns:vt="http://schemas.openxmlformats.org/officeDocument/2006/docPropsVTypes"/>
</file>