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Modul 19"/0.5HE gerade 8x MPO/MTP® Male/48x LC APC Duplex 9/125µ OS2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w:t>
      </w:r>
    </w:p>
    <w:p>
      <w:pPr/>
      <w:r>
        <w:rPr/>
        <w:t xml:space="preserve">Das tSML HD Modul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8 x MPO/MTP® Male Kupplungen (grün) rückseitig</w:t>
            </w:r>
          </w:p>
        </w:tc>
      </w:tr>
      <w:tr>
        <w:trPr/>
        <w:tc>
          <w:tcPr>
            <w:tcW w:w="2500" w:type="dxa"/>
            <w:shd w:val="clear" w:fill="D9D9D9"/>
          </w:tcPr>
          <w:p>
            <w:pPr/>
            <w:r>
              <w:rPr/>
              <w:t xml:space="preserve">Ausgang</w:t>
            </w:r>
          </w:p>
        </w:tc>
        <w:tc>
          <w:tcPr>
            <w:tcW w:w="7500" w:type="dxa"/>
          </w:tcPr>
          <w:p>
            <w:pPr/>
            <w:r>
              <w:rPr/>
              <w:t xml:space="preserve">48 x LC APC Duplex Kupplungen (grün) frontseitig</w:t>
            </w:r>
          </w:p>
        </w:tc>
      </w:tr>
      <w:tr>
        <w:trPr/>
        <w:tc>
          <w:tcPr>
            <w:tcW w:w="2500" w:type="dxa"/>
            <w:shd w:val="clear" w:fill="D9D9D9"/>
          </w:tcPr>
          <w:p>
            <w:pPr/>
            <w:r>
              <w:rPr/>
              <w:t xml:space="preserve">Maße</w:t>
            </w:r>
          </w:p>
        </w:tc>
        <w:tc>
          <w:tcPr>
            <w:tcW w:w="7500" w:type="dxa"/>
          </w:tcPr>
          <w:p>
            <w:pPr/>
            <w:r>
              <w:rPr/>
              <w:t xml:space="preserve">19", 0.5 HE, Tiefe: 11 cm</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TSML-M48LCAD/MPP09E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2024-04-20T06:40:52+00:00</dcterms:created>
  <dcterms:modified xsi:type="dcterms:W3CDTF">2024-04-20T06:40:52+00:00</dcterms:modified>
</cp:coreProperties>
</file>

<file path=docProps/custom.xml><?xml version="1.0" encoding="utf-8"?>
<Properties xmlns="http://schemas.openxmlformats.org/officeDocument/2006/custom-properties" xmlns:vt="http://schemas.openxmlformats.org/officeDocument/2006/docPropsVTypes"/>
</file>