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LC/SC tde 50/125µ OM3 Duplex FlatTwin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Duplex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Duplex</w:t>
            </w:r>
          </w:p>
        </w:tc>
      </w:tr>
      <w:tr>
        <w:trPr/>
        <w:tc>
          <w:tcPr>
            <w:tcW w:w="2500" w:type="dxa"/>
            <w:shd w:val="clear" w:fill="D9D9D9"/>
          </w:tcPr>
          <w:p>
            <w:pPr/>
            <w:r>
              <w:rPr/>
              <w:t xml:space="preserve">Gehäuse</w:t>
            </w:r>
          </w:p>
        </w:tc>
        <w:tc>
          <w:tcPr>
            <w:tcW w:w="7500" w:type="dxa"/>
          </w:tcPr>
          <w:p>
            <w:pPr/>
            <w:r>
              <w:rPr/>
              <w:t xml:space="preserve">Kunststoff, Türkis</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LC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IL bei 97% gemessen nach IEC 61300-3-4 unter Laborbedingungen.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SC Duplex</w:t>
            </w:r>
          </w:p>
        </w:tc>
      </w:tr>
      <w:tr>
        <w:trPr/>
        <w:tc>
          <w:tcPr>
            <w:tcW w:w="2500" w:type="dxa"/>
            <w:shd w:val="clear" w:fill="D9D9D9"/>
          </w:tcPr>
          <w:p>
            <w:pPr/>
            <w:r>
              <w:rPr/>
              <w:t xml:space="preserve">Gehäuse</w:t>
            </w:r>
          </w:p>
        </w:tc>
        <w:tc>
          <w:tcPr>
            <w:tcW w:w="7500" w:type="dxa"/>
          </w:tcPr>
          <w:p>
            <w:pPr/>
            <w:r>
              <w:rPr/>
              <w:t xml:space="preserve">Kunststoff, Türkis</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SC</w:t>
            </w:r>
          </w:p>
        </w:tc>
        <w:tc>
          <w:tcPr/>
          <w:p>
            <w:pPr/>
            <w:r>
              <w:rPr/>
              <w:t xml:space="preserve">850 nm</w:t>
            </w:r>
          </w:p>
        </w:tc>
        <w:tc>
          <w:tcPr/>
          <w:p>
            <w:pPr/>
            <w:r>
              <w:rPr/>
              <w:t xml:space="preserve">≤ 0.25 dB</w:t>
            </w:r>
          </w:p>
        </w:tc>
        <w:tc>
          <w:tcPr/>
          <w:p>
            <w:pPr/>
            <w:r>
              <w:rPr/>
              <w:t xml:space="preserve">0.45 dB</w:t>
            </w:r>
          </w:p>
        </w:tc>
        <w:tc>
          <w:tcPr/>
          <w:p>
            <w:pPr/>
            <w:r>
              <w:rPr/>
              <w:t xml:space="preserve">30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Betrieb: -20 bis +60°C IEC 60794-2-10</w:t>
            </w:r>
          </w:p>
        </w:tc>
      </w:tr>
      <w:tr>
        <w:trPr/>
        <w:tc>
          <w:tcPr>
            <w:tcW w:w="2500" w:type="dxa"/>
            <w:shd w:val="clear" w:fill="D9D9D9"/>
          </w:tcPr>
          <w:p>
            <w:pPr/>
            <w:r>
              <w:rPr/>
              <w:t xml:space="preserve"> </w:t>
            </w:r>
          </w:p>
        </w:tc>
        <w:tc>
          <w:tcPr>
            <w:tcW w:w="7500" w:type="dxa"/>
          </w:tcPr>
          <w:p>
            <w:pPr/>
            <w:r>
              <w:rPr/>
              <w:t xml:space="preserve">-10 bis +60°C für konfektionierte Patchkabel</w:t>
            </w:r>
          </w:p>
        </w:tc>
      </w:tr>
      <w:tr>
        <w:trPr/>
        <w:tc>
          <w:tcPr>
            <w:tcW w:w="2500" w:type="dxa"/>
            <w:shd w:val="clear" w:fill="D9D9D9"/>
          </w:tcPr>
          <w:p>
            <w:pPr/>
            <w:r>
              <w:rPr/>
              <w:t xml:space="preserve">Zugfestigkeit</w:t>
            </w:r>
          </w:p>
        </w:tc>
        <w:tc>
          <w:tcPr>
            <w:tcW w:w="7500" w:type="dxa"/>
          </w:tcPr>
          <w:p>
            <w:pPr/>
            <w:r>
              <w:rPr/>
              <w:t xml:space="preserve">IEC 60794-1-21 E1 A</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 A</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G50/125 OM3 aqua, RAL 6027</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 SEV TP 20B/3C 3.4.1.1</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Dca-s2,d1,a1</w:t>
            </w:r>
          </w:p>
        </w:tc>
      </w:tr>
    </w:tbl>
    <w:p>
      <w:pPr/>
      <w:r>
        <w:rPr/>
        <w:t xml:space="preserve"/>
      </w:r>
    </w:p>
    <w:tbl>
      <w:tblGrid>
        <w:gridCol w:w="2500" w:type="dxa"/>
        <w:gridCol w:w="7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Fasertyp</w:t>
            </w:r>
          </w:p>
        </w:tc>
        <w:tc>
          <w:tcPr>
            <w:tcW w:w="7500" w:type="dxa"/>
          </w:tcPr>
          <w:p>
            <w:pPr/>
            <w:r>
              <w:rPr/>
              <w:t xml:space="preserve">MM-OM3, 50/125µ</w:t>
            </w:r>
          </w:p>
        </w:tc>
        <w:tc>
          <w:tcPr>
            <w:tcW w:w="7500" w:type="dxa"/>
          </w:tcPr>
          <w:p>
            <w:pPr/>
            <w:r>
              <w:rPr/>
              <w:t xml:space="preserve"> </w:t>
            </w:r>
          </w:p>
        </w:tc>
      </w:tr>
      <w:tr>
        <w:trPr/>
        <w:tc>
          <w:tcPr>
            <w:tcW w:w="2500" w:type="dxa"/>
            <w:shd w:val="clear" w:fill="D9D9D9"/>
          </w:tcPr>
          <w:p>
            <w:pPr/>
            <w:r>
              <w:rPr/>
              <w:t xml:space="preserve">Numerische Apertur</w:t>
            </w:r>
          </w:p>
        </w:tc>
        <w:tc>
          <w:tcPr>
            <w:tcW w:w="7500" w:type="dxa"/>
          </w:tcPr>
          <w:p>
            <w:pPr/>
            <w:r>
              <w:rPr/>
              <w:t xml:space="preserve">0.200 ± 0.015</w:t>
            </w:r>
          </w:p>
        </w:tc>
        <w:tc>
          <w:tcPr>
            <w:tcW w:w="7500" w:type="dxa"/>
          </w:tcPr>
          <w:p>
            <w:pPr/>
            <w:r>
              <w:rPr/>
              <w:t xml:space="preserve"> </w:t>
            </w:r>
          </w:p>
        </w:tc>
      </w:tr>
      <w:tr>
        <w:trPr/>
        <w:tc>
          <w:tcPr>
            <w:tcW w:w="2500" w:type="dxa"/>
            <w:shd w:val="clear" w:fill="D9D9D9"/>
          </w:tcPr>
          <w:p>
            <w:pPr/>
            <w:r>
              <w:rPr/>
              <w:t xml:space="preserve">Kern Ø</w:t>
            </w:r>
          </w:p>
        </w:tc>
        <w:tc>
          <w:tcPr>
            <w:tcW w:w="7500" w:type="dxa"/>
          </w:tcPr>
          <w:p>
            <w:pPr/>
            <w:r>
              <w:rPr/>
              <w:t xml:space="preserve">50 ± 2.5 µm</w:t>
            </w:r>
          </w:p>
        </w:tc>
        <w:tc>
          <w:tcPr>
            <w:tcW w:w="7500" w:type="dxa"/>
          </w:tcPr>
          <w:p>
            <w:pPr/>
            <w:r>
              <w:rPr/>
              <w:t xml:space="preserve"> </w:t>
            </w:r>
          </w:p>
        </w:tc>
      </w:tr>
      <w:tr>
        <w:trPr/>
        <w:tc>
          <w:tcPr>
            <w:tcW w:w="2500" w:type="dxa"/>
            <w:shd w:val="clear" w:fill="D9D9D9"/>
          </w:tcPr>
          <w:p>
            <w:pPr/>
            <w:r>
              <w:rPr/>
              <w:t xml:space="preserve">Max. Unrundheit des Kerns</w:t>
            </w:r>
          </w:p>
        </w:tc>
        <w:tc>
          <w:tcPr>
            <w:tcW w:w="7500" w:type="dxa"/>
          </w:tcPr>
          <w:p>
            <w:pPr/>
            <w:r>
              <w:rPr/>
              <w:t xml:space="preserve">5 %</w:t>
            </w:r>
          </w:p>
        </w:tc>
        <w:tc>
          <w:tcPr>
            <w:tcW w:w="7500" w:type="dxa"/>
          </w:tcPr>
          <w:p>
            <w:pPr/>
            <w:r>
              <w:rPr/>
              <w:t xml:space="preserve"> </w:t>
            </w:r>
          </w:p>
        </w:tc>
      </w:tr>
      <w:tr>
        <w:trPr/>
        <w:tc>
          <w:tcPr>
            <w:tcW w:w="2500" w:type="dxa"/>
            <w:shd w:val="clear" w:fill="D9D9D9"/>
          </w:tcPr>
          <w:p>
            <w:pPr/>
            <w:r>
              <w:rPr/>
              <w:t xml:space="preserve">Glasmantel Ø</w:t>
            </w:r>
          </w:p>
        </w:tc>
        <w:tc>
          <w:tcPr>
            <w:tcW w:w="7500" w:type="dxa"/>
          </w:tcPr>
          <w:p>
            <w:pPr/>
            <w:r>
              <w:rPr/>
              <w:t xml:space="preserve">125 ± 2 µm</w:t>
            </w:r>
          </w:p>
        </w:tc>
        <w:tc>
          <w:tcPr>
            <w:tcW w:w="7500" w:type="dxa"/>
          </w:tcPr>
          <w:p>
            <w:pPr/>
            <w:r>
              <w:rPr/>
              <w:t xml:space="preserve"> </w:t>
            </w:r>
          </w:p>
        </w:tc>
      </w:tr>
      <w:tr>
        <w:trPr/>
        <w:tc>
          <w:tcPr>
            <w:tcW w:w="2500" w:type="dxa"/>
            <w:shd w:val="clear" w:fill="D9D9D9"/>
          </w:tcPr>
          <w:p>
            <w:pPr/>
            <w:r>
              <w:rPr/>
              <w:t xml:space="preserve">Max. Unrundheit des Glasmantels</w:t>
            </w:r>
          </w:p>
        </w:tc>
        <w:tc>
          <w:tcPr>
            <w:tcW w:w="7500" w:type="dxa"/>
          </w:tcPr>
          <w:p>
            <w:pPr/>
            <w:r>
              <w:rPr/>
              <w:t xml:space="preserve">1.0 %</w:t>
            </w:r>
          </w:p>
        </w:tc>
        <w:tc>
          <w:tcPr>
            <w:tcW w:w="7500" w:type="dxa"/>
          </w:tcPr>
          <w:p>
            <w:pPr/>
            <w:r>
              <w:rPr/>
              <w:t xml:space="preserve"> </w:t>
            </w:r>
          </w:p>
        </w:tc>
      </w:tr>
      <w:tr>
        <w:trPr/>
        <w:tc>
          <w:tcPr>
            <w:tcW w:w="2500" w:type="dxa"/>
            <w:shd w:val="clear" w:fill="D9D9D9"/>
          </w:tcPr>
          <w:p>
            <w:pPr/>
            <w:r>
              <w:rPr/>
              <w:t xml:space="preserve">Max. Kern-/Mantel-Konzentrizität</w:t>
            </w:r>
          </w:p>
        </w:tc>
        <w:tc>
          <w:tcPr>
            <w:tcW w:w="7500" w:type="dxa"/>
          </w:tcPr>
          <w:p>
            <w:pPr/>
            <w:r>
              <w:rPr/>
              <w:t xml:space="preserve">1.5 µm</w:t>
            </w:r>
          </w:p>
        </w:tc>
        <w:tc>
          <w:tcPr>
            <w:tcW w:w="7500" w:type="dxa"/>
          </w:tcPr>
          <w:p>
            <w:pPr/>
            <w:r>
              <w:rPr/>
              <w:t xml:space="preserve"> </w:t>
            </w:r>
          </w:p>
        </w:tc>
      </w:tr>
      <w:tr>
        <w:trPr/>
        <w:tc>
          <w:tcPr>
            <w:tcW w:w="2500" w:type="dxa"/>
            <w:shd w:val="clear" w:fill="D9D9D9"/>
          </w:tcPr>
          <w:p>
            <w:pPr/>
            <w:r>
              <w:rPr/>
              <w:t xml:space="preserve">Max. Coating Konzentrizitätsabweichung</w:t>
            </w:r>
          </w:p>
        </w:tc>
        <w:tc>
          <w:tcPr>
            <w:tcW w:w="7500" w:type="dxa"/>
          </w:tcPr>
          <w:p>
            <w:pPr/>
            <w:r>
              <w:rPr/>
              <w:t xml:space="preserve">12 µm</w:t>
            </w:r>
          </w:p>
        </w:tc>
        <w:tc>
          <w:tcPr>
            <w:tcW w:w="7500" w:type="dxa"/>
          </w:tcPr>
          <w:p>
            <w:pPr/>
            <w:r>
              <w:rPr/>
              <w:t xml:space="preserve"> </w:t>
            </w:r>
          </w:p>
        </w:tc>
      </w:tr>
      <w:tr>
        <w:trPr/>
        <w:tc>
          <w:tcPr>
            <w:tcW w:w="2500" w:type="dxa"/>
            <w:shd w:val="clear" w:fill="D9D9D9"/>
          </w:tcPr>
          <w:p>
            <w:pPr/>
            <w:r>
              <w:rPr/>
              <w:t xml:space="preserve">Coating Ø</w:t>
            </w:r>
          </w:p>
        </w:tc>
        <w:tc>
          <w:tcPr>
            <w:tcW w:w="7500" w:type="dxa"/>
          </w:tcPr>
          <w:p>
            <w:pPr/>
            <w:r>
              <w:rPr/>
              <w:t xml:space="preserve">242 ± 5 µm</w:t>
            </w:r>
          </w:p>
        </w:tc>
        <w:tc>
          <w:tcPr>
            <w:tcW w:w="7500" w:type="dxa"/>
          </w:tcPr>
          <w:p>
            <w:pPr/>
            <w:r>
              <w:rPr/>
              <w:t xml:space="preserve"> </w:t>
            </w:r>
          </w:p>
        </w:tc>
      </w:tr>
      <w:tr>
        <w:trPr/>
        <w:tc>
          <w:tcPr>
            <w:tcW w:w="2500" w:type="dxa"/>
            <w:shd w:val="clear" w:fill="D9D9D9"/>
          </w:tcPr>
          <w:p>
            <w:pPr/>
            <w:r>
              <w:rPr/>
              <w:t xml:space="preserve">Prüflast</w:t>
            </w:r>
          </w:p>
        </w:tc>
        <w:tc>
          <w:tcPr>
            <w:tcW w:w="7500" w:type="dxa"/>
          </w:tcPr>
          <w:p>
            <w:pPr/>
            <w:r>
              <w:rPr/>
              <w:t xml:space="preserve">100 kpsi</w:t>
            </w:r>
          </w:p>
        </w:tc>
        <w:tc>
          <w:tcPr>
            <w:tcW w:w="7500" w:type="dxa"/>
          </w:tcPr>
          <w:p>
            <w:pPr/>
            <w:r>
              <w:rPr/>
              <w:t xml:space="preserve"> </w:t>
            </w:r>
          </w:p>
        </w:tc>
      </w:tr>
      <w:tr>
        <w:trPr/>
        <w:tc>
          <w:tcPr>
            <w:tcW w:w="2500" w:type="dxa"/>
            <w:shd w:val="clear" w:fill="D9D9D9"/>
          </w:tcPr>
          <w:p>
            <w:pPr/>
            <w:r>
              <w:rPr/>
              <w:t xml:space="preserve">Wellenlänge</w:t>
            </w:r>
          </w:p>
        </w:tc>
        <w:tc>
          <w:tcPr>
            <w:tcW w:w="7500" w:type="dxa"/>
          </w:tcPr>
          <w:p>
            <w:pPr/>
            <w:r>
              <w:rPr/>
              <w:t xml:space="preserve">850 nm</w:t>
            </w:r>
          </w:p>
        </w:tc>
        <w:tc>
          <w:tcPr>
            <w:tcW w:w="7500" w:type="dxa"/>
          </w:tcPr>
          <w:p>
            <w:pPr/>
            <w:r>
              <w:rPr/>
              <w:t xml:space="preserve">1300 nm</w:t>
            </w:r>
          </w:p>
        </w:tc>
      </w:tr>
      <w:tr>
        <w:trPr/>
        <w:tc>
          <w:tcPr>
            <w:tcW w:w="2500" w:type="dxa"/>
            <w:shd w:val="clear" w:fill="D9D9D9"/>
          </w:tcPr>
          <w:p>
            <w:pPr/>
            <w:r>
              <w:rPr/>
              <w:t xml:space="preserve">Dämpfung typ. (verkabelt)</w:t>
            </w:r>
          </w:p>
        </w:tc>
        <w:tc>
          <w:tcPr>
            <w:tcW w:w="7500" w:type="dxa"/>
          </w:tcPr>
          <w:p>
            <w:pPr/>
            <w:r>
              <w:rPr/>
              <w:t xml:space="preserve">2.5 dB/km</w:t>
            </w:r>
          </w:p>
        </w:tc>
        <w:tc>
          <w:tcPr>
            <w:tcW w:w="7500" w:type="dxa"/>
          </w:tcPr>
          <w:p>
            <w:pPr/>
            <w:r>
              <w:rPr/>
              <w:t xml:space="preserve">0.5 dB/km</w:t>
            </w:r>
          </w:p>
        </w:tc>
      </w:tr>
      <w:tr>
        <w:trPr/>
        <w:tc>
          <w:tcPr>
            <w:tcW w:w="2500" w:type="dxa"/>
            <w:shd w:val="clear" w:fill="D9D9D9"/>
          </w:tcPr>
          <w:p>
            <w:pPr/>
            <w:r>
              <w:rPr/>
              <w:t xml:space="preserve">Dämpfung max. (verkabelt)</w:t>
            </w:r>
          </w:p>
        </w:tc>
        <w:tc>
          <w:tcPr>
            <w:tcW w:w="7500" w:type="dxa"/>
          </w:tcPr>
          <w:p>
            <w:pPr/>
            <w:r>
              <w:rPr/>
              <w:t xml:space="preserve">2.7 dB/km</w:t>
            </w:r>
          </w:p>
        </w:tc>
        <w:tc>
          <w:tcPr>
            <w:tcW w:w="7500" w:type="dxa"/>
          </w:tcPr>
          <w:p>
            <w:pPr/>
            <w:r>
              <w:rPr/>
              <w:t xml:space="preserve">0.7 dB/km</w:t>
            </w:r>
          </w:p>
        </w:tc>
      </w:tr>
      <w:tr>
        <w:trPr/>
        <w:tc>
          <w:tcPr>
            <w:tcW w:w="2500" w:type="dxa"/>
            <w:shd w:val="clear" w:fill="D9D9D9"/>
          </w:tcPr>
          <w:p>
            <w:pPr/>
            <w:r>
              <w:rPr/>
              <w:t xml:space="preserve">OFL Bandbreite gemäss TIA/EIA 455-204 und IEC 60793-1-41</w:t>
            </w:r>
          </w:p>
        </w:tc>
        <w:tc>
          <w:tcPr>
            <w:tcW w:w="7500" w:type="dxa"/>
          </w:tcPr>
          <w:p>
            <w:pPr/>
            <w:r>
              <w:rPr/>
              <w:t xml:space="preserve">1500 MHz x km</w:t>
            </w:r>
          </w:p>
        </w:tc>
        <w:tc>
          <w:tcPr>
            <w:tcW w:w="7500" w:type="dxa"/>
          </w:tcPr>
          <w:p>
            <w:pPr/>
            <w:r>
              <w:rPr/>
              <w:t xml:space="preserve">500 MHz x km</w:t>
            </w:r>
          </w:p>
        </w:tc>
      </w:tr>
      <w:tr>
        <w:trPr/>
        <w:tc>
          <w:tcPr>
            <w:tcW w:w="2500" w:type="dxa"/>
            <w:shd w:val="clear" w:fill="D9D9D9"/>
          </w:tcPr>
          <w:p>
            <w:pPr/>
            <w:r>
              <w:rPr/>
              <w:t xml:space="preserve">Hohe Bandbreite EMB, minEMBc, gemäss TIA/EIA 455-204A und IEC 60793-1-49</w:t>
            </w:r>
          </w:p>
        </w:tc>
        <w:tc>
          <w:tcPr>
            <w:tcW w:w="7500" w:type="dxa"/>
          </w:tcPr>
          <w:p>
            <w:pPr/>
            <w:r>
              <w:rPr/>
              <w:t xml:space="preserve">2000 MHz x km</w:t>
            </w:r>
          </w:p>
        </w:tc>
        <w:tc>
          <w:tcPr>
            <w:tcW w:w="7500" w:type="dxa"/>
          </w:tcPr>
          <w:p>
            <w:pPr/>
            <w:r>
              <w:rPr/>
              <w:t xml:space="preserve"> </w:t>
            </w:r>
          </w:p>
        </w:tc>
      </w:tr>
      <w:tr>
        <w:trPr/>
        <w:tc>
          <w:tcPr>
            <w:tcW w:w="2500" w:type="dxa"/>
            <w:shd w:val="clear" w:fill="D9D9D9"/>
          </w:tcPr>
          <w:p>
            <w:pPr/>
            <w:r>
              <w:rPr/>
              <w:t xml:space="preserve">Brechzahlindex</w:t>
            </w:r>
          </w:p>
        </w:tc>
        <w:tc>
          <w:tcPr>
            <w:tcW w:w="7500" w:type="dxa"/>
          </w:tcPr>
          <w:p>
            <w:pPr/>
            <w:r>
              <w:rPr/>
              <w:t xml:space="preserve">1.480</w:t>
            </w:r>
          </w:p>
        </w:tc>
        <w:tc>
          <w:tcPr>
            <w:tcW w:w="7500" w:type="dxa"/>
          </w:tcPr>
          <w:p>
            <w:pPr/>
            <w:r>
              <w:rPr/>
              <w:t xml:space="preserve">1.479</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Bezeichnung</w:t>
            </w:r>
          </w:p>
        </w:tc>
        <w:tc>
          <w:tcPr>
            <w:tcW w:w="7500" w:type="dxa"/>
          </w:tcPr>
          <w:p>
            <w:pPr/>
            <w:r>
              <w:rPr/>
              <w:t xml:space="preserve">Duplex I-K(ZN)HH</w:t>
            </w:r>
          </w:p>
        </w:tc>
      </w:tr>
      <w:tr>
        <w:trPr/>
        <w:tc>
          <w:tcPr>
            <w:tcW w:w="2500" w:type="dxa"/>
            <w:shd w:val="clear" w:fill="D9D9D9"/>
          </w:tcPr>
          <w:p>
            <w:pPr/>
            <w:r>
              <w:rPr/>
              <w:t xml:space="preserve">KabelØ</w:t>
            </w:r>
          </w:p>
        </w:tc>
        <w:tc>
          <w:tcPr>
            <w:tcW w:w="7500" w:type="dxa"/>
          </w:tcPr>
          <w:p>
            <w:pPr/>
            <w:r>
              <w:rPr/>
              <w:t xml:space="preserve">4.8 x 3.2 mm</w:t>
            </w:r>
          </w:p>
        </w:tc>
      </w:tr>
      <w:tr>
        <w:trPr/>
        <w:tc>
          <w:tcPr>
            <w:tcW w:w="2500" w:type="dxa"/>
            <w:shd w:val="clear" w:fill="D9D9D9"/>
          </w:tcPr>
          <w:p>
            <w:pPr/>
            <w:r>
              <w:rPr/>
              <w:t xml:space="preserve">Gewicht</w:t>
            </w:r>
          </w:p>
        </w:tc>
        <w:tc>
          <w:tcPr>
            <w:tcW w:w="7500" w:type="dxa"/>
          </w:tcPr>
          <w:p>
            <w:pPr/>
            <w:r>
              <w:rPr/>
              <w:t xml:space="preserve">21 kg/km</w:t>
            </w:r>
          </w:p>
        </w:tc>
      </w:tr>
      <w:tr>
        <w:trPr/>
        <w:tc>
          <w:tcPr>
            <w:tcW w:w="2500" w:type="dxa"/>
            <w:shd w:val="clear" w:fill="D9D9D9"/>
          </w:tcPr>
          <w:p>
            <w:pPr/>
            <w:r>
              <w:rPr/>
              <w:t xml:space="preserve">Biegeradius</w:t>
            </w:r>
          </w:p>
        </w:tc>
        <w:tc>
          <w:tcPr>
            <w:tcW w:w="7500" w:type="dxa"/>
          </w:tcPr>
          <w:p>
            <w:pPr/>
            <w:r>
              <w:rPr/>
              <w:t xml:space="preserve">50 mm</w:t>
            </w:r>
          </w:p>
        </w:tc>
      </w:tr>
      <w:tr>
        <w:trPr/>
        <w:tc>
          <w:tcPr>
            <w:tcW w:w="2500" w:type="dxa"/>
            <w:shd w:val="clear" w:fill="D9D9D9"/>
          </w:tcPr>
          <w:p>
            <w:pPr/>
            <w:r>
              <w:rPr/>
              <w:t xml:space="preserve">Zugkraft</w:t>
            </w:r>
          </w:p>
        </w:tc>
        <w:tc>
          <w:tcPr>
            <w:tcW w:w="7500" w:type="dxa"/>
          </w:tcPr>
          <w:p>
            <w:pPr/>
            <w:r>
              <w:rPr/>
              <w:t xml:space="preserve">200 N</w:t>
            </w:r>
          </w:p>
        </w:tc>
      </w:tr>
      <w:tr>
        <w:trPr/>
        <w:tc>
          <w:tcPr>
            <w:tcW w:w="2500" w:type="dxa"/>
            <w:shd w:val="clear" w:fill="D9D9D9"/>
          </w:tcPr>
          <w:p>
            <w:pPr/>
            <w:r>
              <w:rPr/>
              <w:t xml:space="preserve">Querdruck kurzzeitig</w:t>
            </w:r>
          </w:p>
        </w:tc>
        <w:tc>
          <w:tcPr>
            <w:tcW w:w="7500" w:type="dxa"/>
          </w:tcPr>
          <w:p>
            <w:pPr/>
            <w:r>
              <w:rPr/>
              <w:t xml:space="preserve">3000 N/cm</w:t>
            </w:r>
          </w:p>
        </w:tc>
      </w:tr>
      <w:tr>
        <w:trPr/>
        <w:tc>
          <w:tcPr>
            <w:tcW w:w="2500" w:type="dxa"/>
            <w:shd w:val="clear" w:fill="D9D9D9"/>
          </w:tcPr>
          <w:p>
            <w:pPr/>
            <w:r>
              <w:rPr/>
              <w:t xml:space="preserve">Brandlast</w:t>
            </w:r>
          </w:p>
        </w:tc>
        <w:tc>
          <w:tcPr>
            <w:tcW w:w="7500" w:type="dxa"/>
          </w:tcPr>
          <w:p>
            <w:pPr/>
            <w:r>
              <w:rPr/>
              <w:t xml:space="preserve">100 kWh/km</w:t>
            </w:r>
          </w:p>
        </w:tc>
      </w:tr>
      <w:tr>
        <w:trPr/>
        <w:tc>
          <w:tcPr>
            <w:tcW w:w="2500" w:type="dxa"/>
            <w:shd w:val="clear" w:fill="D9D9D9"/>
          </w:tcPr>
          <w:p>
            <w:pPr/>
            <w:r>
              <w:rPr/>
              <w:t xml:space="preserve">Brandlast</w:t>
            </w:r>
          </w:p>
        </w:tc>
        <w:tc>
          <w:tcPr>
            <w:tcW w:w="7500" w:type="dxa"/>
          </w:tcPr>
          <w:p>
            <w:pPr/>
            <w:r>
              <w:rPr/>
              <w:t xml:space="preserve">360 MJ/km</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L-LC/SC50TM3-xxxxx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2025-04-17T14:09:53+00:00</dcterms:created>
  <dcterms:modified xsi:type="dcterms:W3CDTF">2025-04-17T14:09:53+00:00</dcterms:modified>
</cp:coreProperties>
</file>

<file path=docProps/custom.xml><?xml version="1.0" encoding="utf-8"?>
<Properties xmlns="http://schemas.openxmlformats.org/officeDocument/2006/custom-properties" xmlns:vt="http://schemas.openxmlformats.org/officeDocument/2006/docPropsVTypes"/>
</file>