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Mini Fanout MPO24 Male/2x MPO12 Female 24G50/125µ OM4 100GbE, Type A, Length: 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MPO/MTP® Standard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Round cable 3.6 mm, loose tube, LSOH, magenta</w:t>
            </w:r>
          </w:p>
        </w:tc>
      </w:tr>
      <w:tr>
        <w:trPr/>
        <w:tc>
          <w:tcPr>
            <w:tcW w:w="2500" w:type="dxa"/>
            <w:shd w:val="clear" w:fill="D9D9D9"/>
          </w:tcPr>
          <w:p>
            <w:pPr/>
            <w:r>
              <w:rPr/>
              <w:t xml:space="preserve">Connectors</w:t>
            </w:r>
          </w:p>
        </w:tc>
        <w:tc>
          <w:tcPr>
            <w:tcW w:w="7500" w:type="dxa"/>
          </w:tcPr>
          <w:p>
            <w:pPr/>
            <w:r>
              <w:rPr/>
              <w:t xml:space="preserve">MPO/MTP®Male/Female Push Pull (magenta)</w:t>
            </w:r>
          </w:p>
        </w:tc>
      </w:tr>
      <w:tr>
        <w:trPr/>
        <w:tc>
          <w:tcPr>
            <w:tcW w:w="2500" w:type="dxa"/>
            <w:shd w:val="clear" w:fill="D9D9D9"/>
          </w:tcPr>
          <w:p>
            <w:pPr/>
            <w:r>
              <w:rPr/>
              <w:t xml:space="preserve">Pin out</w:t>
            </w:r>
          </w:p>
        </w:tc>
        <w:tc>
          <w:tcPr>
            <w:tcW w:w="7500" w:type="dxa"/>
          </w:tcPr>
          <w:p>
            <w:pPr/>
            <w:r>
              <w:rPr/>
              <w:t xml:space="preserve">Method A</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 - stands for the cable length in m (every length available)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Male Push Pull Locking with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Female Push Pull Locking (Magenta)</w:t>
            </w:r>
          </w:p>
        </w:tc>
      </w:tr>
      <w:tr>
        <w:trPr/>
        <w:tc>
          <w:tcPr>
            <w:tcW w:w="2500" w:type="dxa"/>
            <w:shd w:val="clear" w:fill="D9D9D9"/>
          </w:tcPr>
          <w:p>
            <w:pPr/>
            <w:r>
              <w:rPr/>
              <w:t xml:space="preserve">Ferrule</w:t>
            </w:r>
          </w:p>
        </w:tc>
        <w:tc>
          <w:tcPr>
            <w:tcW w:w="7500" w:type="dxa"/>
          </w:tcPr>
          <w:p>
            <w:pPr/>
            <w:r>
              <w:rPr/>
              <w:t xml:space="preserve">12 Fiber MM Elite® ferrule, PPS</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Temperature range</w:t>
            </w:r>
          </w:p>
        </w:tc>
        <w:tc>
          <w:tcPr>
            <w:tcW w:w="7500" w:type="dxa"/>
          </w:tcPr>
          <w:p>
            <w:pPr/>
            <w:r>
              <w:rPr/>
              <w:t xml:space="preserve">-40°C bis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***FO Fan-Out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Length Fan-Out</w:t>
            </w:r>
          </w:p>
        </w:tc>
        <w:tc>
          <w:tcPr>
            <w:tcW w:w="7500" w:type="dxa"/>
          </w:tcPr>
          <w:p>
            <w:pPr/>
            <w:r>
              <w:rPr/>
              <w:t xml:space="preserve">40 mm</w:t>
            </w:r>
          </w:p>
        </w:tc>
      </w:tr>
      <w:tr>
        <w:trPr/>
        <w:tc>
          <w:tcPr>
            <w:tcW w:w="2500" w:type="dxa"/>
            <w:shd w:val="clear" w:fill="D9D9D9"/>
          </w:tcPr>
          <w:p>
            <w:pPr/>
            <w:r>
              <w:rPr/>
              <w:t xml:space="preserve">Max. Ø Fan-Out</w:t>
            </w:r>
          </w:p>
        </w:tc>
        <w:tc>
          <w:tcPr>
            <w:tcW w:w="7500" w:type="dxa"/>
          </w:tcPr>
          <w:p>
            <w:pPr/>
            <w:r>
              <w:rPr/>
              <w:t xml:space="preserve">10 mm</w:t>
            </w:r>
          </w:p>
        </w:tc>
      </w:tr>
      <w:tr>
        <w:trPr/>
        <w:tc>
          <w:tcPr>
            <w:tcW w:w="2500" w:type="dxa"/>
            <w:shd w:val="clear" w:fill="D9D9D9"/>
          </w:tcPr>
          <w:p>
            <w:pPr/>
            <w:r>
              <w:rPr/>
              <w:t xml:space="preserve">Parallel connectors</w:t>
            </w:r>
          </w:p>
        </w:tc>
        <w:tc>
          <w:tcPr>
            <w:tcW w:w="7500" w:type="dxa"/>
          </w:tcPr>
          <w:p>
            <w:pPr/>
            <w:r>
              <w:rPr/>
              <w:t xml:space="preserve">2</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IVH24G50-OM4</w:t>
            </w:r>
          </w:p>
        </w:tc>
      </w:tr>
      <w:tr>
        <w:trPr/>
        <w:tc>
          <w:tcPr>
            <w:tcW w:w="2500" w:type="dxa"/>
            <w:shd w:val="clear" w:fill="D9D9D9"/>
          </w:tcPr>
          <w:p>
            <w:pPr/>
            <w:r>
              <w:rPr/>
              <w:t xml:space="preserve">Fiber</w:t>
            </w:r>
          </w:p>
        </w:tc>
        <w:tc>
          <w:tcPr>
            <w:tcW w:w="7500" w:type="dxa"/>
          </w:tcPr>
          <w:p>
            <w:pPr/>
            <w:r>
              <w:rPr/>
              <w:t xml:space="preserve">24 primary coated fibres nominally 242 μm, arranged in 2 groups of 12 fibres, Group 1: Red id tread Group 2: Green id tread</w:t>
            </w:r>
          </w:p>
        </w:tc>
      </w:tr>
      <w:tr>
        <w:trPr/>
        <w:tc>
          <w:tcPr>
            <w:tcW w:w="2500" w:type="dxa"/>
            <w:shd w:val="clear" w:fill="D9D9D9"/>
          </w:tcPr>
          <w:p>
            <w:pPr/>
            <w:r>
              <w:rPr/>
              <w:t xml:space="preserve">Fiber colors</w:t>
            </w:r>
          </w:p>
        </w:tc>
        <w:tc>
          <w:tcPr>
            <w:tcW w:w="7500" w:type="dxa"/>
          </w:tcPr>
          <w:p>
            <w:pPr/>
            <w:r>
              <w:rPr/>
              <w:t xml:space="preserve">According to TIA/EIA 598-C also in agreement with IEC 60304: 1-12: Blue, orange, green, brown, grey, white, red, black, yellow, violet, pink and aqua</w:t>
            </w:r>
          </w:p>
        </w:tc>
      </w:tr>
      <w:tr>
        <w:trPr/>
        <w:tc>
          <w:tcPr>
            <w:tcW w:w="2500" w:type="dxa"/>
            <w:shd w:val="clear" w:fill="D9D9D9"/>
          </w:tcPr>
          <w:p>
            <w:pPr/>
            <w:r>
              <w:rPr/>
              <w:t xml:space="preserve"> </w:t>
            </w:r>
          </w:p>
        </w:tc>
        <w:tc>
          <w:tcPr>
            <w:tcW w:w="7500" w:type="dxa"/>
          </w:tcPr>
          <w:p>
            <w:pPr/>
            <w:r>
              <w:rPr/>
              <w:t xml:space="preserve">13-24: Blue, orange, green, brown, grey, white, red, transparent, yellow, violet, pink and aqua (with add. ring mark)</w:t>
            </w:r>
          </w:p>
        </w:tc>
      </w:tr>
      <w:tr>
        <w:trPr/>
        <w:tc>
          <w:tcPr>
            <w:tcW w:w="2500" w:type="dxa"/>
            <w:shd w:val="clear" w:fill="D9D9D9"/>
          </w:tcPr>
          <w:p>
            <w:pPr/>
            <w:r>
              <w:rPr/>
              <w:t xml:space="preserve">Strength member</w:t>
            </w:r>
          </w:p>
        </w:tc>
        <w:tc>
          <w:tcPr>
            <w:tcW w:w="7500" w:type="dxa"/>
          </w:tcPr>
          <w:p>
            <w:pPr/>
            <w:r>
              <w:rPr/>
              <w:t xml:space="preserve">Ultra high modulus Aramid yarns</w:t>
            </w:r>
          </w:p>
        </w:tc>
      </w:tr>
      <w:tr>
        <w:trPr/>
        <w:tc>
          <w:tcPr>
            <w:tcW w:w="2500" w:type="dxa"/>
            <w:shd w:val="clear" w:fill="D9D9D9"/>
          </w:tcPr>
          <w:p>
            <w:pPr/>
            <w:r>
              <w:rPr/>
              <w:t xml:space="preserve">Sheath</w:t>
            </w:r>
          </w:p>
        </w:tc>
        <w:tc>
          <w:tcPr>
            <w:tcW w:w="7500" w:type="dxa"/>
          </w:tcPr>
          <w:p>
            <w:pPr/>
            <w:r>
              <w:rPr/>
              <w:t xml:space="preserve">Halogen free, flame resistant thermoplastic sheathing compound acc. to EN 50290-2-27, UV stabilised</w:t>
            </w:r>
          </w:p>
        </w:tc>
      </w:tr>
      <w:tr>
        <w:trPr/>
        <w:tc>
          <w:tcPr>
            <w:tcW w:w="2500" w:type="dxa"/>
            <w:shd w:val="clear" w:fill="D9D9D9"/>
          </w:tcPr>
          <w:p>
            <w:pPr/>
            <w:r>
              <w:rPr/>
              <w:t xml:space="preserve">Sheath colors</w:t>
            </w:r>
          </w:p>
        </w:tc>
        <w:tc>
          <w:tcPr>
            <w:tcW w:w="7500" w:type="dxa"/>
          </w:tcPr>
          <w:p>
            <w:pPr/>
            <w:r>
              <w:rPr/>
              <w:t xml:space="preserve">Magenta, RAL 4003</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Pass</w:t>
            </w:r>
          </w:p>
        </w:tc>
      </w:tr>
      <w:tr>
        <w:trPr/>
        <w:tc>
          <w:tcPr>
            <w:tcW w:w="2500" w:type="dxa"/>
            <w:shd w:val="clear" w:fill="D9D9D9"/>
          </w:tcPr>
          <w:p>
            <w:pPr/>
            <w:r>
              <w:rPr/>
              <w:t xml:space="preserve">IEC 60332-2-2</w:t>
            </w:r>
          </w:p>
        </w:tc>
        <w:tc>
          <w:tcPr>
            <w:tcW w:w="7500" w:type="dxa"/>
          </w:tcPr>
          <w:p>
            <w:pPr/>
            <w:r>
              <w:rPr/>
              <w:t xml:space="preserve">Pass</w:t>
            </w:r>
          </w:p>
        </w:tc>
      </w:tr>
      <w:tr>
        <w:trPr/>
        <w:tc>
          <w:tcPr>
            <w:tcW w:w="2500" w:type="dxa"/>
            <w:shd w:val="clear" w:fill="D9D9D9"/>
          </w:tcPr>
          <w:p>
            <w:pPr/>
            <w:r>
              <w:rPr/>
              <w:t xml:space="preserve">IEC 60754-1</w:t>
            </w:r>
          </w:p>
        </w:tc>
        <w:tc>
          <w:tcPr>
            <w:tcW w:w="7500" w:type="dxa"/>
          </w:tcPr>
          <w:p>
            <w:pPr/>
            <w:r>
              <w:rPr/>
              <w:t xml:space="preserve">No halogens</w:t>
            </w:r>
          </w:p>
        </w:tc>
      </w:tr>
      <w:tr>
        <w:trPr/>
        <w:tc>
          <w:tcPr>
            <w:tcW w:w="2500" w:type="dxa"/>
            <w:shd w:val="clear" w:fill="D9D9D9"/>
          </w:tcPr>
          <w:p>
            <w:pPr/>
            <w:r>
              <w:rPr/>
              <w:t xml:space="preserve">IEC 60754-2</w:t>
            </w:r>
          </w:p>
        </w:tc>
        <w:tc>
          <w:tcPr>
            <w:tcW w:w="7500" w:type="dxa"/>
          </w:tcPr>
          <w:p>
            <w:pPr/>
            <w:r>
              <w:rPr/>
              <w:t xml:space="preserve">No acid matters</w:t>
            </w:r>
          </w:p>
        </w:tc>
      </w:tr>
      <w:tr>
        <w:trPr/>
        <w:tc>
          <w:tcPr>
            <w:tcW w:w="2500" w:type="dxa"/>
            <w:shd w:val="clear" w:fill="D9D9D9"/>
          </w:tcPr>
          <w:p>
            <w:pPr/>
            <w:r>
              <w:rPr/>
              <w:t xml:space="preserve">IEC 61034-2</w:t>
            </w:r>
          </w:p>
        </w:tc>
        <w:tc>
          <w:tcPr>
            <w:tcW w:w="7500" w:type="dxa"/>
          </w:tcPr>
          <w:p>
            <w:pPr/>
            <w:r>
              <w:rPr/>
              <w:t xml:space="preserve">No dense smoke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ø3.6 mm +0.1 mm -0.3 mm</w:t>
            </w:r>
          </w:p>
        </w:tc>
      </w:tr>
      <w:tr>
        <w:trPr/>
        <w:tc>
          <w:tcPr>
            <w:tcW w:w="2500" w:type="dxa"/>
            <w:shd w:val="clear" w:fill="D9D9D9"/>
          </w:tcPr>
          <w:p>
            <w:pPr/>
            <w:r>
              <w:rPr/>
              <w:t xml:space="preserve">Diameter PVC-core tube</w:t>
            </w:r>
          </w:p>
        </w:tc>
        <w:tc>
          <w:tcPr>
            <w:tcW w:w="7500" w:type="dxa"/>
          </w:tcPr>
          <w:p>
            <w:pPr/>
            <w:r>
              <w:rPr/>
              <w:t xml:space="preserve">2.0 ± 0.1 mm</w:t>
            </w:r>
          </w:p>
        </w:tc>
      </w:tr>
      <w:tr>
        <w:trPr/>
        <w:tc>
          <w:tcPr>
            <w:tcW w:w="2500" w:type="dxa"/>
            <w:shd w:val="clear" w:fill="D9D9D9"/>
          </w:tcPr>
          <w:p>
            <w:pPr/>
            <w:r>
              <w:rPr/>
              <w:t xml:space="preserve">Wall thickness PVC-core tube</w:t>
            </w:r>
          </w:p>
        </w:tc>
        <w:tc>
          <w:tcPr>
            <w:tcW w:w="7500" w:type="dxa"/>
          </w:tcPr>
          <w:p>
            <w:pPr/>
            <w:r>
              <w:rPr/>
              <w:t xml:space="preserve">0.35 mm – 0.40 mm</w:t>
            </w:r>
          </w:p>
        </w:tc>
      </w:tr>
      <w:tr>
        <w:trPr/>
        <w:tc>
          <w:tcPr>
            <w:tcW w:w="2500" w:type="dxa"/>
            <w:shd w:val="clear" w:fill="D9D9D9"/>
          </w:tcPr>
          <w:p>
            <w:pPr/>
            <w:r>
              <w:rPr/>
              <w:t xml:space="preserve">Weight</w:t>
            </w:r>
          </w:p>
        </w:tc>
        <w:tc>
          <w:tcPr>
            <w:tcW w:w="7500" w:type="dxa"/>
          </w:tcPr>
          <w:p>
            <w:pPr/>
            <w:r>
              <w:rPr/>
              <w:t xml:space="preserve">11 kg/km</w:t>
            </w:r>
          </w:p>
        </w:tc>
      </w:tr>
      <w:tr>
        <w:trPr/>
        <w:tc>
          <w:tcPr>
            <w:tcW w:w="2500" w:type="dxa"/>
            <w:shd w:val="clear" w:fill="D9D9D9"/>
          </w:tcPr>
          <w:p>
            <w:pPr/>
            <w:r>
              <w:rPr/>
              <w:t xml:space="preserve">Tensile strength (dynamic)</w:t>
            </w:r>
          </w:p>
        </w:tc>
        <w:tc>
          <w:tcPr>
            <w:tcW w:w="7500" w:type="dxa"/>
          </w:tcPr>
          <w:p>
            <w:pPr/>
            <w:r>
              <w:rPr/>
              <w:t xml:space="preserve">220 N</w:t>
            </w:r>
          </w:p>
        </w:tc>
      </w:tr>
      <w:tr>
        <w:trPr/>
        <w:tc>
          <w:tcPr>
            <w:tcW w:w="2500" w:type="dxa"/>
            <w:shd w:val="clear" w:fill="D9D9D9"/>
          </w:tcPr>
          <w:p>
            <w:pPr/>
            <w:r>
              <w:rPr/>
              <w:t xml:space="preserve">Tensile strength (permanent)</w:t>
            </w:r>
          </w:p>
        </w:tc>
        <w:tc>
          <w:tcPr>
            <w:tcW w:w="7500" w:type="dxa"/>
          </w:tcPr>
          <w:p>
            <w:pPr/>
            <w:r>
              <w:rPr/>
              <w:t xml:space="preserve">110 N</w:t>
            </w:r>
          </w:p>
        </w:tc>
      </w:tr>
      <w:tr>
        <w:trPr/>
        <w:tc>
          <w:tcPr>
            <w:tcW w:w="2500" w:type="dxa"/>
            <w:shd w:val="clear" w:fill="D9D9D9"/>
          </w:tcPr>
          <w:p>
            <w:pPr/>
            <w:r>
              <w:rPr/>
              <w:t xml:space="preserve">Compressive strength (crush)</w:t>
            </w:r>
          </w:p>
        </w:tc>
        <w:tc>
          <w:tcPr>
            <w:tcW w:w="7500" w:type="dxa"/>
          </w:tcPr>
          <w:p>
            <w:pPr/>
            <w:r>
              <w:rPr/>
              <w:t xml:space="preserve">400 N</w:t>
            </w:r>
          </w:p>
        </w:tc>
      </w:tr>
      <w:tr>
        <w:trPr/>
        <w:tc>
          <w:tcPr>
            <w:tcW w:w="2500" w:type="dxa"/>
            <w:shd w:val="clear" w:fill="D9D9D9"/>
          </w:tcPr>
          <w:p>
            <w:pPr/>
            <w:r>
              <w:rPr/>
              <w:t xml:space="preserve">Impact</w:t>
            </w:r>
          </w:p>
        </w:tc>
        <w:tc>
          <w:tcPr>
            <w:tcW w:w="7500" w:type="dxa"/>
          </w:tcPr>
          <w:p>
            <w:pPr/>
            <w:r>
              <w:rPr/>
              <w:t xml:space="preserve">4 Nm, R= 12.5 mm</w:t>
            </w:r>
          </w:p>
        </w:tc>
      </w:tr>
      <w:tr>
        <w:trPr/>
        <w:tc>
          <w:tcPr>
            <w:tcW w:w="2500" w:type="dxa"/>
            <w:shd w:val="clear" w:fill="D9D9D9"/>
          </w:tcPr>
          <w:p>
            <w:pPr/>
            <w:r>
              <w:rPr/>
              <w:t xml:space="preserve">Kink</w:t>
            </w:r>
          </w:p>
        </w:tc>
        <w:tc>
          <w:tcPr>
            <w:tcW w:w="7500" w:type="dxa"/>
          </w:tcPr>
          <w:p>
            <w:pPr/>
            <w:r>
              <w:rPr/>
              <w:t xml:space="preserve">No Kink</w:t>
            </w:r>
          </w:p>
        </w:tc>
      </w:tr>
      <w:tr>
        <w:trPr/>
        <w:tc>
          <w:tcPr>
            <w:tcW w:w="2500" w:type="dxa"/>
            <w:shd w:val="clear" w:fill="D9D9D9"/>
          </w:tcPr>
          <w:p>
            <w:pPr/>
            <w:r>
              <w:rPr/>
              <w:t xml:space="preserve">Min. Bending radius</w:t>
            </w:r>
          </w:p>
        </w:tc>
        <w:tc>
          <w:tcPr>
            <w:tcW w:w="7500" w:type="dxa"/>
          </w:tcPr>
          <w:p>
            <w:pPr/>
            <w:r>
              <w:rPr/>
              <w:t xml:space="preserve">R = 20 mm</w:t>
            </w:r>
          </w:p>
        </w:tc>
      </w:tr>
      <w:tr>
        <w:trPr/>
        <w:tc>
          <w:tcPr>
            <w:tcW w:w="2500" w:type="dxa"/>
            <w:shd w:val="clear" w:fill="D9D9D9"/>
          </w:tcPr>
          <w:p>
            <w:pPr/>
            <w:r>
              <w:rPr/>
              <w:t xml:space="preserve">Temperature range</w:t>
            </w:r>
          </w:p>
        </w:tc>
        <w:tc>
          <w:tcPr>
            <w:tcW w:w="7500" w:type="dxa"/>
          </w:tcPr>
          <w:p>
            <w:pPr/>
            <w:r>
              <w:rPr/>
              <w:t xml:space="preserve">Operation and installation: -0°C to 50°C. Storage: -20°C to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L-M2P/MP50I24G4Axxx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2024-04-25T05:15:06+00:00</dcterms:created>
  <dcterms:modified xsi:type="dcterms:W3CDTF">2024-04-25T05:15:06+00:00</dcterms:modified>
</cp:coreProperties>
</file>

<file path=docProps/custom.xml><?xml version="1.0" encoding="utf-8"?>
<Properties xmlns="http://schemas.openxmlformats.org/officeDocument/2006/custom-properties" xmlns:vt="http://schemas.openxmlformats.org/officeDocument/2006/docPropsVTypes"/>
</file>