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S/FTP Patchkabel RJ45/RJ45 TM31 Rot, UC900 SS27 FRNC Cat6A Rot, Länge: xxxx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TP Patchkabel RJ45/RJ45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UC900 SS27 Cat.7</w:t>
            </w:r>
          </w:p>
        </w:tc>
      </w:tr>
      <w:tr>
        <w:trPr/>
        <w:tc>
          <w:tcPr>
            <w:tcW w:w="2500" w:type="dxa"/>
            <w:shd w:val="clear" w:fill="D9D9D9"/>
          </w:tcPr>
          <w:p>
            <w:pPr/>
            <w:r>
              <w:rPr/>
              <w:t xml:space="preserve">Belegung</w:t>
            </w:r>
          </w:p>
        </w:tc>
        <w:tc>
          <w:tcPr>
            <w:tcW w:w="7500" w:type="dxa"/>
          </w:tcPr>
          <w:p>
            <w:pPr/>
            <w:r>
              <w:rPr/>
              <w:t xml:space="preserve">1:1</w:t>
            </w:r>
          </w:p>
        </w:tc>
      </w:tr>
      <w:tr>
        <w:trPr/>
        <w:tc>
          <w:tcPr>
            <w:tcW w:w="2500" w:type="dxa"/>
            <w:shd w:val="clear" w:fill="D9D9D9"/>
          </w:tcPr>
          <w:p>
            <w:pPr/>
            <w:r>
              <w:rPr/>
              <w:t xml:space="preserve">Tests</w:t>
            </w:r>
          </w:p>
        </w:tc>
        <w:tc>
          <w:tcPr>
            <w:tcW w:w="7500" w:type="dxa"/>
          </w:tcPr>
          <w:p>
            <w:pPr/>
            <w:r>
              <w:rPr/>
              <w:t xml:space="preserve">Link Performance Tests,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(TM31), mit integriertem Rastnasenschutz, nicht an- oder umsprizt, nicht lösbar</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Abmessungen der Tülle</w:t>
            </w:r>
          </w:p>
        </w:tc>
        <w:tc>
          <w:tcPr>
            <w:tcW w:w="7500" w:type="dxa"/>
          </w:tcPr>
          <w:p>
            <w:pPr/>
            <w:r>
              <w:rPr/>
              <w:t xml:space="preserve">34 mm Länge / 13.4 mm Breite</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tde (Knickschutz)</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Geltende Normen</w:t>
            </w:r>
          </w:p>
        </w:tc>
        <w:tc>
          <w:tcPr>
            <w:tcW w:w="7500" w:type="dxa"/>
          </w:tcPr>
          <w:p>
            <w:pPr/>
            <w:r>
              <w:rPr/>
              <w:t xml:space="preserve">EN 50173-1</w:t>
            </w:r>
          </w:p>
        </w:tc>
      </w:tr>
      <w:tr>
        <w:trPr/>
        <w:tc>
          <w:tcPr>
            <w:tcW w:w="2500" w:type="dxa"/>
            <w:shd w:val="clear" w:fill="D9D9D9"/>
          </w:tcPr>
          <w:p>
            <w:pPr/>
            <w:r>
              <w:rPr/>
              <w:t xml:space="preserve"> </w:t>
            </w:r>
          </w:p>
        </w:tc>
        <w:tc>
          <w:tcPr>
            <w:tcW w:w="7500" w:type="dxa"/>
          </w:tcPr>
          <w:p>
            <w:pPr/>
            <w:r>
              <w:rPr/>
              <w:t xml:space="preserve">EN 50288-4-2</w:t>
            </w:r>
          </w:p>
        </w:tc>
      </w:tr>
      <w:tr>
        <w:trPr/>
        <w:tc>
          <w:tcPr>
            <w:tcW w:w="2500" w:type="dxa"/>
            <w:shd w:val="clear" w:fill="D9D9D9"/>
          </w:tcPr>
          <w:p>
            <w:pPr/>
            <w:r>
              <w:rPr/>
              <w:t xml:space="preserve"> </w:t>
            </w:r>
          </w:p>
        </w:tc>
        <w:tc>
          <w:tcPr>
            <w:tcW w:w="7500" w:type="dxa"/>
          </w:tcPr>
          <w:p>
            <w:pPr/>
            <w:r>
              <w:rPr/>
              <w:t xml:space="preserve">ISO/IEC 11801</w:t>
            </w:r>
          </w:p>
        </w:tc>
      </w:tr>
      <w:tr>
        <w:trPr/>
        <w:tc>
          <w:tcPr>
            <w:tcW w:w="2500" w:type="dxa"/>
            <w:shd w:val="clear" w:fill="D9D9D9"/>
          </w:tcPr>
          <w:p>
            <w:pPr/>
            <w:r>
              <w:rPr/>
              <w:t xml:space="preserve"> </w:t>
            </w:r>
          </w:p>
        </w:tc>
        <w:tc>
          <w:tcPr>
            <w:tcW w:w="7500" w:type="dxa"/>
          </w:tcPr>
          <w:p>
            <w:pPr/>
            <w:r>
              <w:rPr/>
              <w:t xml:space="preserve">IEC 61156-6</w:t>
            </w:r>
          </w:p>
        </w:tc>
      </w:tr>
      <w:tr>
        <w:trPr/>
        <w:tc>
          <w:tcPr>
            <w:tcW w:w="2500" w:type="dxa"/>
            <w:shd w:val="clear" w:fill="D9D9D9"/>
          </w:tcPr>
          <w:p>
            <w:pPr/>
            <w:r>
              <w:rPr/>
              <w:t xml:space="preserve">Flammwidrigkeit LSHF (FRNC)</w:t>
            </w:r>
          </w:p>
        </w:tc>
        <w:tc>
          <w:tcPr>
            <w:tcW w:w="7500" w:type="dxa"/>
          </w:tcPr>
          <w:p>
            <w:pPr/>
            <w:r>
              <w:rPr/>
              <w:t xml:space="preserve">IEC 60332-1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r>
        <w:trPr/>
        <w:tc>
          <w:tcPr>
            <w:tcW w:w="2500" w:type="dxa"/>
            <w:shd w:val="clear" w:fill="D9D9D9"/>
          </w:tcPr>
          <w:p>
            <w:pPr/>
            <w:r>
              <w:rPr/>
              <w:t xml:space="preserve">Brandverhalten (Euroklassen)</w:t>
            </w:r>
          </w:p>
        </w:tc>
        <w:tc>
          <w:tcPr>
            <w:tcW w:w="7500" w:type="dxa"/>
          </w:tcPr>
          <w:p>
            <w:pPr/>
            <w:r>
              <w:rPr/>
              <w:t xml:space="preserve">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UC900 SS27 Cat.7 S/FTP</w:t>
            </w:r>
          </w:p>
        </w:tc>
      </w:tr>
      <w:tr>
        <w:trPr/>
        <w:tc>
          <w:tcPr>
            <w:tcW w:w="2500" w:type="dxa"/>
            <w:shd w:val="clear" w:fill="D9D9D9"/>
          </w:tcPr>
          <w:p>
            <w:pPr/>
            <w:r>
              <w:rPr/>
              <w:t xml:space="preserve">Leiter</w:t>
            </w:r>
          </w:p>
        </w:tc>
        <w:tc>
          <w:tcPr>
            <w:tcW w:w="7500" w:type="dxa"/>
          </w:tcPr>
          <w:p>
            <w:pPr/>
            <w:r>
              <w:rPr/>
              <w:t xml:space="preserve">Cu-Litze, blank Ø 0.42 mm (AWG 27/7)</w:t>
            </w:r>
          </w:p>
        </w:tc>
      </w:tr>
      <w:tr>
        <w:trPr/>
        <w:tc>
          <w:tcPr>
            <w:tcW w:w="2500" w:type="dxa"/>
            <w:shd w:val="clear" w:fill="D9D9D9"/>
          </w:tcPr>
          <w:p>
            <w:pPr/>
            <w:r>
              <w:rPr/>
              <w:t xml:space="preserve">Isolierung</w:t>
            </w:r>
          </w:p>
        </w:tc>
        <w:tc>
          <w:tcPr>
            <w:tcW w:w="7500" w:type="dxa"/>
          </w:tcPr>
          <w:p>
            <w:pPr/>
            <w:r>
              <w:rPr/>
              <w:t xml:space="preserve">Foam-Skin Polyethylen, Ø 0.98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Gesamtabschirmung</w:t>
            </w:r>
          </w:p>
        </w:tc>
        <w:tc>
          <w:tcPr>
            <w:tcW w:w="7500" w:type="dxa"/>
          </w:tcPr>
          <w:p>
            <w:pPr/>
            <w:r>
              <w:rPr/>
              <w:t xml:space="preserve">Cu-Geflecht verzinnt</w:t>
            </w:r>
          </w:p>
        </w:tc>
      </w:tr>
      <w:tr>
        <w:trPr/>
        <w:tc>
          <w:tcPr>
            <w:tcW w:w="2500" w:type="dxa"/>
            <w:shd w:val="clear" w:fill="D9D9D9"/>
          </w:tcPr>
          <w:p>
            <w:pPr/>
            <w:r>
              <w:rPr/>
              <w:t xml:space="preserve">Schutzmantel</w:t>
            </w:r>
          </w:p>
        </w:tc>
        <w:tc>
          <w:tcPr>
            <w:tcW w:w="7500" w:type="dxa"/>
          </w:tcPr>
          <w:p>
            <w:pPr/>
            <w:r>
              <w:rPr/>
              <w:t xml:space="preserve">LSHF</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50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3%</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427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12 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Kopplungswiederstand</w:t>
            </w:r>
          </w:p>
        </w:tc>
        <w:tc>
          <w:tcPr>
            <w:tcW w:w="7500" w:type="dxa"/>
          </w:tcPr>
          <w:p>
            <w:pPr/>
            <w:r>
              <w:rPr/>
              <w:t xml:space="preserve">bei 1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30 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ACR dB/100m</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90</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89</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89</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88</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81</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80</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79</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77</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76</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74</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70</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67</w:t>
            </w:r>
          </w:p>
        </w:tc>
        <w:tc>
          <w:tcPr/>
          <w:p>
            <w:pPr/>
            <w:r>
              <w:rPr/>
              <w:t xml:space="preserve">44</w:t>
            </w:r>
          </w:p>
        </w:tc>
        <w:tc>
          <w:tcPr/>
          <w:p>
            <w:pPr/>
            <w:r>
              <w:rPr/>
              <w:t xml:space="preserve">41</w:t>
            </w:r>
          </w:p>
        </w:tc>
        <w:tc>
          <w:tcPr/>
          <w:p>
            <w:pPr/>
            <w:r>
              <w:rPr/>
              <w:t xml:space="preserve">17</w:t>
            </w:r>
          </w:p>
        </w:tc>
      </w:tr>
      <w:tr>
        <w:trPr/>
        <w:tc>
          <w:tcPr/>
          <w:p>
            <w:pPr/>
            <w:r>
              <w:rPr/>
              <w:t xml:space="preserve">750.0</w:t>
            </w:r>
          </w:p>
        </w:tc>
        <w:tc>
          <w:tcPr/>
          <w:p>
            <w:pPr/>
            <w:r>
              <w:rPr/>
              <w:t xml:space="preserve">8.7</w:t>
            </w:r>
          </w:p>
        </w:tc>
        <w:tc>
          <w:tcPr/>
          <w:p>
            <w:pPr/>
            <w:r>
              <w:rPr/>
              <w:t xml:space="preserve">73</w:t>
            </w:r>
          </w:p>
        </w:tc>
        <w:tc>
          <w:tcPr/>
          <w:p>
            <w:pPr/>
            <w:r>
              <w:rPr/>
              <w:t xml:space="preserve">70</w:t>
            </w:r>
          </w:p>
        </w:tc>
        <w:tc>
          <w:tcPr/>
          <w:p>
            <w:pPr/>
            <w:r>
              <w:rPr/>
              <w:t xml:space="preserve">64</w:t>
            </w:r>
          </w:p>
        </w:tc>
        <w:tc>
          <w:tcPr/>
          <w:p>
            <w:pPr/>
            <w:r>
              <w:rPr/>
              <w:t xml:space="preserve">42</w:t>
            </w:r>
          </w:p>
        </w:tc>
        <w:tc>
          <w:tcPr/>
          <w:p>
            <w:pPr/>
            <w:r>
              <w:rPr/>
              <w:t xml:space="preserve">39</w:t>
            </w:r>
          </w:p>
        </w:tc>
        <w:tc>
          <w:tcPr/>
          <w:p>
            <w:pPr/>
            <w:r>
              <w:rPr/>
              <w:t xml:space="preserve"> </w:t>
            </w:r>
          </w:p>
        </w:tc>
      </w:tr>
      <w:tr>
        <w:trPr/>
        <w:tc>
          <w:tcPr/>
          <w:p>
            <w:pPr/>
            <w:r>
              <w:rPr/>
              <w:t xml:space="preserve">900.0</w:t>
            </w:r>
          </w:p>
        </w:tc>
        <w:tc>
          <w:tcPr/>
          <w:p>
            <w:pPr/>
            <w:r>
              <w:rPr/>
              <w:t xml:space="preserve">9.7</w:t>
            </w:r>
          </w:p>
        </w:tc>
        <w:tc>
          <w:tcPr/>
          <w:p>
            <w:pPr/>
            <w:r>
              <w:rPr/>
              <w:t xml:space="preserve">72</w:t>
            </w:r>
          </w:p>
        </w:tc>
        <w:tc>
          <w:tcPr/>
          <w:p>
            <w:pPr/>
            <w:r>
              <w:rPr/>
              <w:t xml:space="preserve">69</w:t>
            </w:r>
          </w:p>
        </w:tc>
        <w:tc>
          <w:tcPr/>
          <w:p>
            <w:pPr/>
            <w:r>
              <w:rPr/>
              <w:t xml:space="preserve">62</w:t>
            </w:r>
          </w:p>
        </w:tc>
        <w:tc>
          <w:tcPr/>
          <w:p>
            <w:pPr/>
            <w:r>
              <w:rPr/>
              <w:t xml:space="preserve">41</w:t>
            </w:r>
          </w:p>
        </w:tc>
        <w:tc>
          <w:tcPr/>
          <w:p>
            <w:pPr/>
            <w:r>
              <w:rPr/>
              <w:t xml:space="preserve">38</w:t>
            </w:r>
          </w:p>
        </w:tc>
        <w:tc>
          <w:tcPr/>
          <w:p>
            <w:pPr/>
            <w:r>
              <w:rPr/>
              <w:t xml:space="preserve"> </w:t>
            </w:r>
          </w:p>
        </w:tc>
      </w:tr>
      <w:tr>
        <w:trPr/>
        <w:tc>
          <w:tcPr/>
          <w:p>
            <w:pPr/>
            <w:r>
              <w:rPr/>
              <w:t xml:space="preserve">1000.0</w:t>
            </w:r>
          </w:p>
        </w:tc>
        <w:tc>
          <w:tcPr/>
          <w:p>
            <w:pPr/>
            <w:r>
              <w:rPr/>
              <w:t xml:space="preserve">10.2</w:t>
            </w:r>
          </w:p>
        </w:tc>
        <w:tc>
          <w:tcPr/>
          <w:p>
            <w:pPr/>
            <w:r>
              <w:rPr/>
              <w:t xml:space="preserve">71</w:t>
            </w:r>
          </w:p>
        </w:tc>
        <w:tc>
          <w:tcPr/>
          <w:p>
            <w:pPr/>
            <w:r>
              <w:rPr/>
              <w:t xml:space="preserve">68</w:t>
            </w:r>
          </w:p>
        </w:tc>
        <w:tc>
          <w:tcPr/>
          <w:p>
            <w:pPr/>
            <w:r>
              <w:rPr/>
              <w:t xml:space="preserve">61</w:t>
            </w:r>
          </w:p>
        </w:tc>
        <w:tc>
          <w:tcPr/>
          <w:p>
            <w:pPr/>
            <w:r>
              <w:rPr/>
              <w:t xml:space="preserve">40</w:t>
            </w:r>
          </w:p>
        </w:tc>
        <w:tc>
          <w:tcPr/>
          <w:p>
            <w:pPr/>
            <w:r>
              <w:rPr/>
              <w:t xml:space="preserve">37</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5.9 mm</w:t>
            </w:r>
          </w:p>
        </w:tc>
      </w:tr>
      <w:tr>
        <w:trPr/>
        <w:tc>
          <w:tcPr>
            <w:tcW w:w="2500" w:type="dxa"/>
            <w:shd w:val="clear" w:fill="D9D9D9"/>
          </w:tcPr>
          <w:p>
            <w:pPr/>
            <w:r>
              <w:rPr/>
              <w:t xml:space="preserve">Brandlast</w:t>
            </w:r>
          </w:p>
        </w:tc>
        <w:tc>
          <w:tcPr>
            <w:tcW w:w="7500" w:type="dxa"/>
          </w:tcPr>
          <w:p>
            <w:pPr/>
            <w:r>
              <w:rPr/>
              <w:t xml:space="preserve">349 MJ/km</w:t>
            </w:r>
          </w:p>
        </w:tc>
      </w:tr>
      <w:tr>
        <w:trPr/>
        <w:tc>
          <w:tcPr>
            <w:tcW w:w="2500" w:type="dxa"/>
            <w:shd w:val="clear" w:fill="D9D9D9"/>
          </w:tcPr>
          <w:p>
            <w:pPr/>
            <w:r>
              <w:rPr/>
              <w:t xml:space="preserve"> </w:t>
            </w:r>
          </w:p>
        </w:tc>
        <w:tc>
          <w:tcPr>
            <w:tcW w:w="7500" w:type="dxa"/>
          </w:tcPr>
          <w:p>
            <w:pPr/>
            <w:r>
              <w:rPr/>
              <w:t xml:space="preserve">0.097 kWh/m</w:t>
            </w:r>
          </w:p>
        </w:tc>
      </w:tr>
      <w:tr>
        <w:trPr/>
        <w:tc>
          <w:tcPr>
            <w:tcW w:w="2500" w:type="dxa"/>
            <w:shd w:val="clear" w:fill="D9D9D9"/>
          </w:tcPr>
          <w:p>
            <w:pPr/>
            <w:r>
              <w:rPr/>
              <w:t xml:space="preserve">Gewicht</w:t>
            </w:r>
          </w:p>
        </w:tc>
        <w:tc>
          <w:tcPr>
            <w:tcW w:w="7500" w:type="dxa"/>
          </w:tcPr>
          <w:p>
            <w:pPr/>
            <w:r>
              <w:rPr/>
              <w:t xml:space="preserve">39 kg/km</w:t>
            </w:r>
          </w:p>
        </w:tc>
      </w:tr>
      <w:tr>
        <w:trPr/>
        <w:tc>
          <w:tcPr>
            <w:tcW w:w="2500" w:type="dxa"/>
            <w:shd w:val="clear" w:fill="D9D9D9"/>
          </w:tcPr>
          <w:p>
            <w:pPr/>
            <w:r>
              <w:rPr/>
              <w:t xml:space="preserve">Cu-Zahl</w:t>
            </w:r>
          </w:p>
        </w:tc>
        <w:tc>
          <w:tcPr>
            <w:tcW w:w="7500" w:type="dxa"/>
          </w:tcPr>
          <w:p>
            <w:pPr/>
            <w:r>
              <w:rPr/>
              <w:t xml:space="preserve">24</w:t>
            </w:r>
          </w:p>
        </w:tc>
      </w:tr>
      <w:tr>
        <w:trPr/>
        <w:tc>
          <w:tcPr>
            <w:tcW w:w="2500" w:type="dxa"/>
            <w:shd w:val="clear" w:fill="D9D9D9"/>
          </w:tcPr>
          <w:p>
            <w:pPr/>
            <w:r>
              <w:rPr/>
              <w:t xml:space="preserve">Zugkraft</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TML-H6AZRT-NRTxxxx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2024-04-19T05:45:32+00:00</dcterms:created>
  <dcterms:modified xsi:type="dcterms:W3CDTF">2024-04-19T05:45:32+00:00</dcterms:modified>
</cp:coreProperties>
</file>

<file path=docProps/custom.xml><?xml version="1.0" encoding="utf-8"?>
<Properties xmlns="http://schemas.openxmlformats.org/officeDocument/2006/custom-properties" xmlns:vt="http://schemas.openxmlformats.org/officeDocument/2006/docPropsVTypes"/>
</file>