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24 - LWL Patchkabel beids. 1x 24F MPO Female 24G50/125µ OM3, Typ A, Länge: xxx in m
</w:t>
      </w:r>
    </w:p>
    <w:p>
      <w:pPr/>
      <w:r>
        <w:rPr/>
        <w:t xml:space="preserve">**tML® 24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400G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24 - LWL Patchkabel MPO/MTP® SR8/SR10
</w:t>
      </w:r>
    </w:p>
    <w:p>
      <w:pPr/>
      <w:r>
        <w:rPr/>
        <w:t xml:space="preserve">**TECHNISCHE_DATEN
</w:t>
      </w:r>
    </w:p>
    <w:p>
      <w:pPr/>
      <w:r>
        <w:rPr/>
        <w:t xml:space="preserve">Die Endflächen der Steckverbinder sind mittels Lasercleaving und Maschinenpolitur optimiert. Die MPO/MTP®Stecker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Kabel</w:t>
            </w:r>
          </w:p>
        </w:tc>
        <w:tc>
          <w:tcPr>
            <w:tcW w:w="7500" w:type="dxa"/>
          </w:tcPr>
          <w:p>
            <w:pPr/>
            <w:r>
              <w:rPr/>
              <w:t xml:space="preserve">Rundkabel 3.6 mm Durchmesser, Bündeladerkonstruktion, FRNC, Aqua</w:t>
            </w:r>
          </w:p>
        </w:tc>
      </w:tr>
      <w:tr>
        <w:trPr/>
        <w:tc>
          <w:tcPr>
            <w:tcW w:w="2500" w:type="dxa"/>
            <w:shd w:val="clear" w:fill="D9D9D9"/>
          </w:tcPr>
          <w:p>
            <w:pPr/>
            <w:r>
              <w:rPr/>
              <w:t xml:space="preserve">Stecker</w:t>
            </w:r>
          </w:p>
        </w:tc>
        <w:tc>
          <w:tcPr>
            <w:tcW w:w="7500" w:type="dxa"/>
          </w:tcPr>
          <w:p>
            <w:pPr/>
            <w:r>
              <w:rPr/>
              <w:t xml:space="preserve">MPO/MTP®Push Pull Verriegelung (aqua)</w:t>
            </w:r>
          </w:p>
        </w:tc>
      </w:tr>
      <w:tr>
        <w:trPr/>
        <w:tc>
          <w:tcPr>
            <w:tcW w:w="2500" w:type="dxa"/>
            <w:shd w:val="clear" w:fill="D9D9D9"/>
          </w:tcPr>
          <w:p>
            <w:pPr/>
            <w:r>
              <w:rPr/>
              <w:t xml:space="preserve">Belegung</w:t>
            </w:r>
          </w:p>
        </w:tc>
        <w:tc>
          <w:tcPr>
            <w:tcW w:w="7500" w:type="dxa"/>
          </w:tcPr>
          <w:p>
            <w:pPr/>
            <w:r>
              <w:rPr/>
              <w:t xml:space="preserve">Typ A</w:t>
            </w:r>
          </w:p>
        </w:tc>
      </w:tr>
      <w:tr>
        <w:trPr/>
        <w:tc>
          <w:tcPr>
            <w:tcW w:w="2500" w:type="dxa"/>
            <w:shd w:val="clear" w:fill="D9D9D9"/>
          </w:tcPr>
          <w:p>
            <w:pPr/>
            <w:r>
              <w:rPr/>
              <w:t xml:space="preserve">Tests</w:t>
            </w:r>
          </w:p>
        </w:tc>
        <w:tc>
          <w:tcPr>
            <w:tcW w:w="7500" w:type="dxa"/>
          </w:tcPr>
          <w:p>
            <w:pPr/>
            <w:r>
              <w:rPr/>
              <w:t xml:space="preserve">Interferometermessung, Einfüge- und Rückflussdämpfungsmessung und visuelle Endkontrolle; alle Messwerte sind elektronisch abrufbar</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Female Push Pull Verriegelung (aqua)</w:t>
            </w:r>
          </w:p>
        </w:tc>
      </w:tr>
      <w:tr>
        <w:trPr/>
        <w:tc>
          <w:tcPr>
            <w:tcW w:w="2500" w:type="dxa"/>
            <w:shd w:val="clear" w:fill="D9D9D9"/>
          </w:tcPr>
          <w:p>
            <w:pPr/>
            <w:r>
              <w:rPr/>
              <w:t xml:space="preserve">Ferrule</w:t>
            </w:r>
          </w:p>
        </w:tc>
        <w:tc>
          <w:tcPr>
            <w:tcW w:w="7500" w:type="dxa"/>
          </w:tcPr>
          <w:p>
            <w:pPr/>
            <w:r>
              <w:rPr/>
              <w:t xml:space="preserve">24 Fiber MM Elite® ferrule, PPS</w:t>
            </w:r>
          </w:p>
        </w:tc>
      </w:tr>
      <w:tr>
        <w:trPr/>
        <w:tc>
          <w:tcPr>
            <w:tcW w:w="2500" w:type="dxa"/>
            <w:shd w:val="clear" w:fill="D9D9D9"/>
          </w:tcPr>
          <w:p>
            <w:pPr/>
            <w:r>
              <w:rPr/>
              <w:t xml:space="preserve">Tüllenfarbe</w:t>
            </w:r>
          </w:p>
        </w:tc>
        <w:tc>
          <w:tcPr>
            <w:tcW w:w="7500" w:type="dxa"/>
          </w:tcPr>
          <w:p>
            <w:pPr/>
            <w:r>
              <w:rPr/>
              <w:t xml:space="preserve">Rot</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OM3</w:t>
            </w:r>
          </w:p>
        </w:tc>
        <w:tc>
          <w:tcPr/>
          <w:p>
            <w:pPr/>
            <w:r>
              <w:rPr/>
              <w:t xml:space="preserve">MPO/MTP®</w:t>
            </w:r>
          </w:p>
        </w:tc>
        <w:tc>
          <w:tcPr/>
          <w:p>
            <w:pPr/>
            <w:r>
              <w:rPr/>
              <w:t xml:space="preserve">850 nm</w:t>
            </w:r>
          </w:p>
        </w:tc>
        <w:tc>
          <w:tcPr/>
          <w:p>
            <w:pPr/>
            <w:r>
              <w:rPr/>
              <w:t xml:space="preserve">≤ 0.20 dB</w:t>
            </w:r>
          </w:p>
        </w:tc>
        <w:tc>
          <w:tcPr/>
          <w:p>
            <w:pPr/>
            <w:r>
              <w:rPr/>
              <w:t xml:space="preserve">0.35 dB</w:t>
            </w:r>
          </w:p>
        </w:tc>
        <w:tc>
          <w:tcPr/>
          <w:p>
            <w:pPr/>
            <w:r>
              <w:rPr/>
              <w:t xml:space="preserve">25 dB</w:t>
            </w:r>
          </w:p>
        </w:tc>
      </w:tr>
    </w:tbl>
    <w:p>
      <w:pPr/>
      <w:r>
        <w:rPr/>
        <w:t xml:space="preserve"/>
      </w:r>
    </w:p>
    <w:p>
      <w:pPr/>
      <w:r>
        <w:rPr/>
        <w:t xml:space="preserve">***LWL Kabel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Standards</w:t>
            </w:r>
          </w:p>
        </w:tc>
        <w:tc>
          <w:tcPr>
            <w:tcW w:w="7500" w:type="dxa"/>
          </w:tcPr>
          <w:p>
            <w:pPr/>
            <w:r>
              <w:rPr/>
              <w:t xml:space="preserve">EN 50173-5</w:t>
            </w:r>
          </w:p>
        </w:tc>
      </w:tr>
      <w:tr>
        <w:trPr/>
        <w:tc>
          <w:tcPr>
            <w:tcW w:w="2500" w:type="dxa"/>
            <w:shd w:val="clear" w:fill="D9D9D9"/>
          </w:tcPr>
          <w:p>
            <w:pPr/>
            <w:r>
              <w:rPr/>
              <w:t xml:space="preserve"> </w:t>
            </w:r>
          </w:p>
        </w:tc>
        <w:tc>
          <w:tcPr>
            <w:tcW w:w="7500" w:type="dxa"/>
          </w:tcPr>
          <w:p>
            <w:pPr/>
            <w:r>
              <w:rPr/>
              <w:t xml:space="preserve">IEC 60794-2-20</w:t>
            </w:r>
          </w:p>
        </w:tc>
      </w:tr>
      <w:tr>
        <w:trPr/>
        <w:tc>
          <w:tcPr>
            <w:tcW w:w="2500" w:type="dxa"/>
            <w:shd w:val="clear" w:fill="D9D9D9"/>
          </w:tcPr>
          <w:p>
            <w:pPr/>
            <w:r>
              <w:rPr/>
              <w:t xml:space="preserve"> </w:t>
            </w:r>
          </w:p>
        </w:tc>
        <w:tc>
          <w:tcPr>
            <w:tcW w:w="7500" w:type="dxa"/>
          </w:tcPr>
          <w:p>
            <w:pPr/>
            <w:r>
              <w:rPr/>
              <w:t xml:space="preserve">ISO/IEC 24764</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Typ</w:t>
            </w:r>
          </w:p>
        </w:tc>
        <w:tc>
          <w:tcPr>
            <w:tcW w:w="7500" w:type="dxa"/>
          </w:tcPr>
          <w:p>
            <w:pPr/>
            <w:r>
              <w:rPr/>
              <w:t xml:space="preserve">IVH24G50-OM3</w:t>
            </w:r>
          </w:p>
        </w:tc>
      </w:tr>
      <w:tr>
        <w:trPr/>
        <w:tc>
          <w:tcPr>
            <w:tcW w:w="2500" w:type="dxa"/>
            <w:shd w:val="clear" w:fill="D9D9D9"/>
          </w:tcPr>
          <w:p>
            <w:pPr/>
            <w:r>
              <w:rPr/>
              <w:t xml:space="preserve">Faser</w:t>
            </w:r>
          </w:p>
        </w:tc>
        <w:tc>
          <w:tcPr>
            <w:tcW w:w="7500" w:type="dxa"/>
          </w:tcPr>
          <w:p>
            <w:pPr/>
            <w:r>
              <w:rPr/>
              <w:t xml:space="preserve">24 gebufferte Fasern 242 μm, angeordnet in 2 Gruppen von jeweils 12 Fasern, geschützt durch die Führung in einem PVC Röhrchen mit einer Wandstärke von mind. 0.25mm</w:t>
            </w:r>
          </w:p>
        </w:tc>
      </w:tr>
      <w:tr>
        <w:trPr/>
        <w:tc>
          <w:tcPr>
            <w:tcW w:w="2500" w:type="dxa"/>
            <w:shd w:val="clear" w:fill="D9D9D9"/>
          </w:tcPr>
          <w:p>
            <w:pPr/>
            <w:r>
              <w:rPr/>
              <w:t xml:space="preserve">Faserfarben</w:t>
            </w:r>
          </w:p>
        </w:tc>
        <w:tc>
          <w:tcPr>
            <w:tcW w:w="7500" w:type="dxa"/>
          </w:tcPr>
          <w:p>
            <w:pPr/>
            <w:r>
              <w:rPr/>
              <w:t xml:space="preserve">Gemäß TIA/EIA 598-C auch übereinstimmend mit IEC 60304: 1-12: Blau, orange, grün, braun, grau, weiß, rot, schwarz, gelb, violet, pink und aqua</w:t>
            </w:r>
          </w:p>
        </w:tc>
      </w:tr>
      <w:tr>
        <w:trPr/>
        <w:tc>
          <w:tcPr>
            <w:tcW w:w="2500" w:type="dxa"/>
            <w:shd w:val="clear" w:fill="D9D9D9"/>
          </w:tcPr>
          <w:p>
            <w:pPr/>
            <w:r>
              <w:rPr/>
              <w:t xml:space="preserve"> </w:t>
            </w:r>
          </w:p>
        </w:tc>
        <w:tc>
          <w:tcPr>
            <w:tcW w:w="7500" w:type="dxa"/>
          </w:tcPr>
          <w:p>
            <w:pPr/>
            <w:r>
              <w:rPr/>
              <w:t xml:space="preserve">13-24: Blau, orange, grün, braun, grau, weiß, rot, transparent, gelb, violet, pink und aqua (mit zus. Ringmarkierung)</w:t>
            </w:r>
          </w:p>
        </w:tc>
      </w:tr>
      <w:tr>
        <w:trPr/>
        <w:tc>
          <w:tcPr>
            <w:tcW w:w="2500" w:type="dxa"/>
            <w:shd w:val="clear" w:fill="D9D9D9"/>
          </w:tcPr>
          <w:p>
            <w:pPr/>
            <w:r>
              <w:rPr/>
              <w:t xml:space="preserve">Zugentlastung</w:t>
            </w:r>
          </w:p>
        </w:tc>
        <w:tc>
          <w:tcPr>
            <w:tcW w:w="7500" w:type="dxa"/>
          </w:tcPr>
          <w:p>
            <w:pPr/>
            <w:r>
              <w:rPr/>
              <w:t xml:space="preserve">Aramid Garn</w:t>
            </w:r>
          </w:p>
        </w:tc>
      </w:tr>
      <w:tr>
        <w:trPr/>
        <w:tc>
          <w:tcPr>
            <w:tcW w:w="2500" w:type="dxa"/>
            <w:shd w:val="clear" w:fill="D9D9D9"/>
          </w:tcPr>
          <w:p>
            <w:pPr/>
            <w:r>
              <w:rPr/>
              <w:t xml:space="preserve">Mantel</w:t>
            </w:r>
          </w:p>
        </w:tc>
        <w:tc>
          <w:tcPr>
            <w:tcW w:w="7500" w:type="dxa"/>
          </w:tcPr>
          <w:p>
            <w:pPr/>
            <w:r>
              <w:rPr/>
              <w:t xml:space="preserve">Halogenfrei, flammwidrig und thermoplastisch gemäß EN 50290-2-27, UV stabilisiert</w:t>
            </w:r>
          </w:p>
        </w:tc>
      </w:tr>
      <w:tr>
        <w:trPr/>
        <w:tc>
          <w:tcPr>
            <w:tcW w:w="2500" w:type="dxa"/>
            <w:shd w:val="clear" w:fill="D9D9D9"/>
          </w:tcPr>
          <w:p>
            <w:pPr/>
            <w:r>
              <w:rPr/>
              <w:t xml:space="preserve">Mantelfarbe</w:t>
            </w:r>
          </w:p>
        </w:tc>
        <w:tc>
          <w:tcPr>
            <w:tcW w:w="7500" w:type="dxa"/>
          </w:tcPr>
          <w:p>
            <w:pPr/>
            <w:r>
              <w:rPr/>
              <w:t xml:space="preserve">Aqua, RAL 6027</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IEC 60332-1-2</w:t>
            </w:r>
          </w:p>
        </w:tc>
        <w:tc>
          <w:tcPr>
            <w:tcW w:w="7500" w:type="dxa"/>
          </w:tcPr>
          <w:p>
            <w:pPr/>
            <w:r>
              <w:rPr/>
              <w:t xml:space="preserve">Bestanden</w:t>
            </w:r>
          </w:p>
        </w:tc>
      </w:tr>
      <w:tr>
        <w:trPr/>
        <w:tc>
          <w:tcPr>
            <w:tcW w:w="2500" w:type="dxa"/>
            <w:shd w:val="clear" w:fill="D9D9D9"/>
          </w:tcPr>
          <w:p>
            <w:pPr/>
            <w:r>
              <w:rPr/>
              <w:t xml:space="preserve">IEC 60332-2-2</w:t>
            </w:r>
          </w:p>
        </w:tc>
        <w:tc>
          <w:tcPr>
            <w:tcW w:w="7500" w:type="dxa"/>
          </w:tcPr>
          <w:p>
            <w:pPr/>
            <w:r>
              <w:rPr/>
              <w:t xml:space="preserve">Bestanden</w:t>
            </w:r>
          </w:p>
        </w:tc>
      </w:tr>
      <w:tr>
        <w:trPr/>
        <w:tc>
          <w:tcPr>
            <w:tcW w:w="2500" w:type="dxa"/>
            <w:shd w:val="clear" w:fill="D9D9D9"/>
          </w:tcPr>
          <w:p>
            <w:pPr/>
            <w:r>
              <w:rPr/>
              <w:t xml:space="preserve">IEC 60754-1</w:t>
            </w:r>
          </w:p>
        </w:tc>
        <w:tc>
          <w:tcPr>
            <w:tcW w:w="7500" w:type="dxa"/>
          </w:tcPr>
          <w:p>
            <w:pPr/>
            <w:r>
              <w:rPr/>
              <w:t xml:space="preserve">Keine Halogene</w:t>
            </w:r>
          </w:p>
        </w:tc>
      </w:tr>
      <w:tr>
        <w:trPr/>
        <w:tc>
          <w:tcPr>
            <w:tcW w:w="2500" w:type="dxa"/>
            <w:shd w:val="clear" w:fill="D9D9D9"/>
          </w:tcPr>
          <w:p>
            <w:pPr/>
            <w:r>
              <w:rPr/>
              <w:t xml:space="preserve">IEC 60754-2</w:t>
            </w:r>
          </w:p>
        </w:tc>
        <w:tc>
          <w:tcPr>
            <w:tcW w:w="7500" w:type="dxa"/>
          </w:tcPr>
          <w:p>
            <w:pPr/>
            <w:r>
              <w:rPr/>
              <w:t xml:space="preserve">Keine Säurebestandteile</w:t>
            </w:r>
          </w:p>
        </w:tc>
      </w:tr>
      <w:tr>
        <w:trPr/>
        <w:tc>
          <w:tcPr>
            <w:tcW w:w="2500" w:type="dxa"/>
            <w:shd w:val="clear" w:fill="D9D9D9"/>
          </w:tcPr>
          <w:p>
            <w:pPr/>
            <w:r>
              <w:rPr/>
              <w:t xml:space="preserve">IEC 61034-2</w:t>
            </w:r>
          </w:p>
        </w:tc>
        <w:tc>
          <w:tcPr>
            <w:tcW w:w="7500" w:type="dxa"/>
          </w:tcPr>
          <w:p>
            <w:pPr/>
            <w:r>
              <w:rPr/>
              <w:t xml:space="preserve">Keine Rauchentwicklung</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200 MJ/km</w:t>
            </w:r>
          </w:p>
        </w:tc>
        <w:tc>
          <w:tcPr>
            <w:tcW w:w="7500" w:type="dxa"/>
          </w:tcPr>
          <w:p>
            <w:pPr/>
            <w:r>
              <w:rPr/>
              <w:t xml:space="preserve">0.5 KWh/m</w:t>
            </w:r>
          </w:p>
        </w:tc>
      </w:tr>
    </w:tbl>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Außendurchmesser Kabel</w:t>
            </w:r>
          </w:p>
        </w:tc>
        <w:tc>
          <w:tcPr>
            <w:tcW w:w="7500" w:type="dxa"/>
          </w:tcPr>
          <w:p>
            <w:pPr/>
            <w:r>
              <w:rPr/>
              <w:t xml:space="preserve">ø3.6 mm +0.1 mm -0.3 mm</w:t>
            </w:r>
          </w:p>
        </w:tc>
      </w:tr>
      <w:tr>
        <w:trPr/>
        <w:tc>
          <w:tcPr>
            <w:tcW w:w="2500" w:type="dxa"/>
            <w:shd w:val="clear" w:fill="D9D9D9"/>
          </w:tcPr>
          <w:p>
            <w:pPr/>
            <w:r>
              <w:rPr/>
              <w:t xml:space="preserve">Durchmesser PVC-Röhrchen</w:t>
            </w:r>
          </w:p>
        </w:tc>
        <w:tc>
          <w:tcPr>
            <w:tcW w:w="7500" w:type="dxa"/>
          </w:tcPr>
          <w:p>
            <w:pPr/>
            <w:r>
              <w:rPr/>
              <w:t xml:space="preserve">2.0 ± 0.1 mm</w:t>
            </w:r>
          </w:p>
        </w:tc>
      </w:tr>
      <w:tr>
        <w:trPr/>
        <w:tc>
          <w:tcPr>
            <w:tcW w:w="2500" w:type="dxa"/>
            <w:shd w:val="clear" w:fill="D9D9D9"/>
          </w:tcPr>
          <w:p>
            <w:pPr/>
            <w:r>
              <w:rPr/>
              <w:t xml:space="preserve">Wandstärke PVC-Röhrchen</w:t>
            </w:r>
          </w:p>
        </w:tc>
        <w:tc>
          <w:tcPr>
            <w:tcW w:w="7500" w:type="dxa"/>
          </w:tcPr>
          <w:p>
            <w:pPr/>
            <w:r>
              <w:rPr/>
              <w:t xml:space="preserve">0.20 mm – 0.25 mm</w:t>
            </w:r>
          </w:p>
        </w:tc>
      </w:tr>
      <w:tr>
        <w:trPr/>
        <w:tc>
          <w:tcPr>
            <w:tcW w:w="2500" w:type="dxa"/>
            <w:shd w:val="clear" w:fill="D9D9D9"/>
          </w:tcPr>
          <w:p>
            <w:pPr/>
            <w:r>
              <w:rPr/>
              <w:t xml:space="preserve">Gewicht</w:t>
            </w:r>
          </w:p>
        </w:tc>
        <w:tc>
          <w:tcPr>
            <w:tcW w:w="7500" w:type="dxa"/>
          </w:tcPr>
          <w:p>
            <w:pPr/>
            <w:r>
              <w:rPr/>
              <w:t xml:space="preserve">11 kg/km</w:t>
            </w:r>
          </w:p>
        </w:tc>
      </w:tr>
      <w:tr>
        <w:trPr/>
        <w:tc>
          <w:tcPr>
            <w:tcW w:w="2500" w:type="dxa"/>
            <w:shd w:val="clear" w:fill="D9D9D9"/>
          </w:tcPr>
          <w:p>
            <w:pPr/>
            <w:r>
              <w:rPr/>
              <w:t xml:space="preserve">Zugfestigkeit (dynamisch)</w:t>
            </w:r>
          </w:p>
        </w:tc>
        <w:tc>
          <w:tcPr>
            <w:tcW w:w="7500" w:type="dxa"/>
          </w:tcPr>
          <w:p>
            <w:pPr/>
            <w:r>
              <w:rPr/>
              <w:t xml:space="preserve">220 N</w:t>
            </w:r>
          </w:p>
        </w:tc>
      </w:tr>
      <w:tr>
        <w:trPr/>
        <w:tc>
          <w:tcPr>
            <w:tcW w:w="2500" w:type="dxa"/>
            <w:shd w:val="clear" w:fill="D9D9D9"/>
          </w:tcPr>
          <w:p>
            <w:pPr/>
            <w:r>
              <w:rPr/>
              <w:t xml:space="preserve">Zugfestigkeit (permanent)</w:t>
            </w:r>
          </w:p>
        </w:tc>
        <w:tc>
          <w:tcPr>
            <w:tcW w:w="7500" w:type="dxa"/>
          </w:tcPr>
          <w:p>
            <w:pPr/>
            <w:r>
              <w:rPr/>
              <w:t xml:space="preserve">110 N</w:t>
            </w:r>
          </w:p>
        </w:tc>
      </w:tr>
      <w:tr>
        <w:trPr/>
        <w:tc>
          <w:tcPr>
            <w:tcW w:w="2500" w:type="dxa"/>
            <w:shd w:val="clear" w:fill="D9D9D9"/>
          </w:tcPr>
          <w:p>
            <w:pPr/>
            <w:r>
              <w:rPr/>
              <w:t xml:space="preserve">Druckfestigkeit</w:t>
            </w:r>
          </w:p>
        </w:tc>
        <w:tc>
          <w:tcPr>
            <w:tcW w:w="7500" w:type="dxa"/>
          </w:tcPr>
          <w:p>
            <w:pPr/>
            <w:r>
              <w:rPr/>
              <w:t xml:space="preserve">400 N</w:t>
            </w:r>
          </w:p>
        </w:tc>
      </w:tr>
      <w:tr>
        <w:trPr/>
        <w:tc>
          <w:tcPr>
            <w:tcW w:w="2500" w:type="dxa"/>
            <w:shd w:val="clear" w:fill="D9D9D9"/>
          </w:tcPr>
          <w:p>
            <w:pPr/>
            <w:r>
              <w:rPr/>
              <w:t xml:space="preserve">Schlagfestigkeit</w:t>
            </w:r>
          </w:p>
        </w:tc>
        <w:tc>
          <w:tcPr>
            <w:tcW w:w="7500" w:type="dxa"/>
          </w:tcPr>
          <w:p>
            <w:pPr/>
            <w:r>
              <w:rPr/>
              <w:t xml:space="preserve">4 Nm, R= 12.5 mm</w:t>
            </w:r>
          </w:p>
        </w:tc>
      </w:tr>
      <w:tr>
        <w:trPr/>
        <w:tc>
          <w:tcPr>
            <w:tcW w:w="2500" w:type="dxa"/>
            <w:shd w:val="clear" w:fill="D9D9D9"/>
          </w:tcPr>
          <w:p>
            <w:pPr/>
            <w:r>
              <w:rPr/>
              <w:t xml:space="preserve">Knickstelle</w:t>
            </w:r>
          </w:p>
        </w:tc>
        <w:tc>
          <w:tcPr>
            <w:tcW w:w="7500" w:type="dxa"/>
          </w:tcPr>
          <w:p>
            <w:pPr/>
            <w:r>
              <w:rPr/>
              <w:t xml:space="preserve">Keine Knickstelle</w:t>
            </w:r>
          </w:p>
        </w:tc>
      </w:tr>
      <w:tr>
        <w:trPr/>
        <w:tc>
          <w:tcPr>
            <w:tcW w:w="2500" w:type="dxa"/>
            <w:shd w:val="clear" w:fill="D9D9D9"/>
          </w:tcPr>
          <w:p>
            <w:pPr/>
            <w:r>
              <w:rPr/>
              <w:t xml:space="preserve">Min. Biegeradius</w:t>
            </w:r>
          </w:p>
        </w:tc>
        <w:tc>
          <w:tcPr>
            <w:tcW w:w="7500" w:type="dxa"/>
          </w:tcPr>
          <w:p>
            <w:pPr/>
            <w:r>
              <w:rPr/>
              <w:t xml:space="preserve">R = 20 mm</w:t>
            </w:r>
          </w:p>
        </w:tc>
      </w:tr>
      <w:tr>
        <w:trPr/>
        <w:tc>
          <w:tcPr>
            <w:tcW w:w="2500" w:type="dxa"/>
            <w:shd w:val="clear" w:fill="D9D9D9"/>
          </w:tcPr>
          <w:p>
            <w:pPr/>
            <w:r>
              <w:rPr/>
              <w:t xml:space="preserve">Temperaturbereich</w:t>
            </w:r>
          </w:p>
        </w:tc>
        <w:tc>
          <w:tcPr>
            <w:tcW w:w="7500" w:type="dxa"/>
          </w:tcPr>
          <w:p>
            <w:pPr/>
            <w:r>
              <w:rPr/>
              <w:t xml:space="preserve">Betrieb und Installation: -0°C bis 50°C. Lagerung: -20°C bis 50°C</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TML-M2/M2-50I24G3Axxx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2025-04-04T01:06:40+00:00</dcterms:created>
  <dcterms:modified xsi:type="dcterms:W3CDTF">2025-04-04T01:06:40+00:00</dcterms:modified>
</cp:coreProperties>
</file>

<file path=docProps/custom.xml><?xml version="1.0" encoding="utf-8"?>
<Properties xmlns="http://schemas.openxmlformats.org/officeDocument/2006/custom-properties" xmlns:vt="http://schemas.openxmlformats.org/officeDocument/2006/docPropsVTypes"/>
</file>