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SM 6x E2000 APC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E2000 APC Kupplungen SM 6 E2000 APC Faserpigtails 9µ/125 OS2 2.0m 12 x Farben, spleißfertig vorbereitet 6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TBL-H12-xxE2A9Ayz (siehe unten)</w:t>
            </w:r>
          </w:p>
        </w:tc>
      </w:tr>
      <w:tr>
        <w:trPr/>
        <w:tc>
          <w:tcPr>
            <w:tcW w:w="2500" w:type="dxa"/>
            <w:shd w:val="clear" w:fill="D9D9D9"/>
          </w:tcPr>
          <w:p>
            <w:pPr/>
            <w:r>
              <w:rPr/>
              <w:t xml:space="preserve">xx</w:t>
            </w:r>
          </w:p>
        </w:tc>
        <w:tc>
          <w:tcPr>
            <w:tcW w:w="7500" w:type="dxa"/>
          </w:tcPr>
          <w:p>
            <w:pPr/>
            <w:r>
              <w:rPr/>
              <w:t xml:space="preserve">(01 - 12)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12x SC Simplex oder 12x E2000 Simplex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 Simplex Adapter mit Flansch</w:t>
            </w:r>
          </w:p>
        </w:tc>
      </w:tr>
      <w:tr>
        <w:trPr/>
        <w:tc>
          <w:tcPr>
            <w:tcW w:w="2500" w:type="dxa"/>
            <w:shd w:val="clear" w:fill="D9D9D9"/>
          </w:tcPr>
          <w:p>
            <w:pPr/>
            <w:r>
              <w:rPr/>
              <w:t xml:space="preserve">Flansch</w:t>
            </w:r>
          </w:p>
        </w:tc>
        <w:tc>
          <w:tcPr>
            <w:tcW w:w="7500" w:type="dxa"/>
          </w:tcPr>
          <w:p>
            <w:pPr/>
            <w:r>
              <w:rPr/>
              <w:t xml:space="preserve">Kunststoff, 3.5mm Materialdicke</w:t>
            </w:r>
          </w:p>
        </w:tc>
      </w:tr>
      <w:tr>
        <w:trPr/>
        <w:tc>
          <w:tcPr>
            <w:tcW w:w="2500" w:type="dxa"/>
            <w:shd w:val="clear" w:fill="D9D9D9"/>
          </w:tcPr>
          <w:p>
            <w:pPr/>
            <w:r>
              <w:rPr/>
              <w:t xml:space="preserve">Standards (Norm)</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TIA 604-16</w:t>
            </w:r>
          </w:p>
        </w:tc>
      </w:tr>
      <w:tr>
        <w:trPr/>
        <w:tc>
          <w:tcPr>
            <w:tcW w:w="2500" w:type="dxa"/>
            <w:shd w:val="clear" w:fill="D9D9D9"/>
          </w:tcPr>
          <w:p>
            <w:pPr/>
            <w:r>
              <w:rPr/>
              <w:t xml:space="preserve"> </w:t>
            </w:r>
          </w:p>
        </w:tc>
        <w:tc>
          <w:tcPr>
            <w:tcW w:w="7500" w:type="dxa"/>
          </w:tcPr>
          <w:p>
            <w:pPr/>
            <w:r>
              <w:rPr/>
              <w:t xml:space="preserve">RoHS</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Alinierungstechnologie</w:t>
            </w:r>
          </w:p>
        </w:tc>
        <w:tc>
          <w:tcPr>
            <w:tcW w:w="7500" w:type="dxa"/>
          </w:tcPr>
          <w:p>
            <w:pPr/>
            <w:r>
              <w:rPr/>
              <w:t xml:space="preserve">Vollkeramik Präzisions-Sleeve (Zirkonia Zr02)</w:t>
            </w:r>
          </w:p>
        </w:tc>
      </w:tr>
      <w:tr>
        <w:trPr/>
        <w:tc>
          <w:tcPr>
            <w:tcW w:w="2500" w:type="dxa"/>
            <w:shd w:val="clear" w:fill="D9D9D9"/>
          </w:tcPr>
          <w:p>
            <w:pPr/>
            <w:r>
              <w:rPr/>
              <w:t xml:space="preserve">IL Reproduzierbarkeit</w:t>
            </w:r>
          </w:p>
        </w:tc>
        <w:tc>
          <w:tcPr>
            <w:tcW w:w="7500" w:type="dxa"/>
          </w:tcPr>
          <w:p>
            <w:pPr/>
            <w:r>
              <w:rPr/>
              <w:t xml:space="preserve">&lt; 0.1dB</w:t>
            </w:r>
          </w:p>
        </w:tc>
      </w:tr>
      <w:tr>
        <w:trPr/>
        <w:tc>
          <w:tcPr>
            <w:tcW w:w="2500" w:type="dxa"/>
            <w:shd w:val="clear" w:fill="D9D9D9"/>
          </w:tcPr>
          <w:p>
            <w:pPr/>
            <w:r>
              <w:rPr/>
              <w:t xml:space="preserve">Steckzyklen</w:t>
            </w:r>
          </w:p>
        </w:tc>
        <w:tc>
          <w:tcPr>
            <w:tcW w:w="7500" w:type="dxa"/>
          </w:tcPr>
          <w:p>
            <w:pPr/>
            <w:r>
              <w:rPr/>
              <w:t xml:space="preserve">min. 1000 </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Faserart</w:t>
            </w:r>
          </w:p>
        </w:tc>
        <w:tc>
          <w:tcPr>
            <w:tcW w:w="7500" w:type="dxa"/>
          </w:tcPr>
          <w:p>
            <w:pPr/>
            <w:r>
              <w:rPr/>
              <w:t xml:space="preserve">Singlemode (SM)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TBL-H12-06E2A9AS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2024-04-19T12:17:38+00:00</dcterms:created>
  <dcterms:modified xsi:type="dcterms:W3CDTF">2024-04-19T12:17:38+00:00</dcterms:modified>
</cp:coreProperties>
</file>

<file path=docProps/custom.xml><?xml version="1.0" encoding="utf-8"?>
<Properties xmlns="http://schemas.openxmlformats.org/officeDocument/2006/custom-properties" xmlns:vt="http://schemas.openxmlformats.org/officeDocument/2006/docPropsVTypes"/>
</file>