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Patch cord MPO/MPO Male 12G50/125µ OM2 LSOH, Type A, Length: 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MPO/MTP® Standard
</w:t>
      </w:r>
    </w:p>
    <w:p>
      <w:pPr/>
      <w:r>
        <w:rPr/>
        <w:t xml:space="preserve">**TECHNISCHE_DATEN
</w:t>
      </w:r>
    </w:p>
    <w:p>
      <w:pPr/>
      <w:r>
        <w:rPr/>
        <w:t xml:space="preserve">The FO patch cord is preterminated with MPO/MTP®connectors on both ends. The Cable is very slim and flexible. The end faces of the connectors are optimized by means of Lasercleaving and machine polish. The MPO/MTP®plug has a defined fiber hieght of 1 - 3µ with a difference ≤ 0,5µ. All system components (modules, trunk cables and patch cords) are co-ordinated for the reaching of the performance particularly. The module is marked with sequential serial number and article number.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Cable</w:t>
            </w:r>
          </w:p>
        </w:tc>
        <w:tc>
          <w:tcPr>
            <w:tcW w:w="7500" w:type="dxa"/>
          </w:tcPr>
          <w:p>
            <w:pPr/>
            <w:r>
              <w:rPr/>
              <w:t xml:space="preserve">Round cable, loose tube, LSOH, orange</w:t>
            </w:r>
          </w:p>
        </w:tc>
      </w:tr>
      <w:tr>
        <w:trPr/>
        <w:tc>
          <w:tcPr>
            <w:tcW w:w="2500" w:type="dxa"/>
            <w:shd w:val="clear" w:fill="D9D9D9"/>
          </w:tcPr>
          <w:p>
            <w:pPr/>
            <w:r>
              <w:rPr/>
              <w:t xml:space="preserve">Nominal diameter</w:t>
            </w:r>
          </w:p>
        </w:tc>
        <w:tc>
          <w:tcPr>
            <w:tcW w:w="7500" w:type="dxa"/>
          </w:tcPr>
          <w:p>
            <w:pPr/>
            <w:r>
              <w:rPr/>
              <w:t xml:space="preserve">3.0mm</w:t>
            </w:r>
          </w:p>
        </w:tc>
      </w:tr>
      <w:tr>
        <w:trPr/>
        <w:tc>
          <w:tcPr>
            <w:tcW w:w="2500" w:type="dxa"/>
            <w:shd w:val="clear" w:fill="D9D9D9"/>
          </w:tcPr>
          <w:p>
            <w:pPr/>
            <w:r>
              <w:rPr/>
              <w:t xml:space="preserve">Connectors</w:t>
            </w:r>
          </w:p>
        </w:tc>
        <w:tc>
          <w:tcPr>
            <w:tcW w:w="7500" w:type="dxa"/>
          </w:tcPr>
          <w:p>
            <w:pPr/>
            <w:r>
              <w:rPr/>
              <w:t xml:space="preserve">MPO/MTP®Male Push Pull (grey)</w:t>
            </w:r>
          </w:p>
        </w:tc>
      </w:tr>
      <w:tr>
        <w:trPr/>
        <w:tc>
          <w:tcPr>
            <w:tcW w:w="2500" w:type="dxa"/>
            <w:shd w:val="clear" w:fill="D9D9D9"/>
          </w:tcPr>
          <w:p>
            <w:pPr/>
            <w:r>
              <w:rPr/>
              <w:t xml:space="preserve">Pin out</w:t>
            </w:r>
          </w:p>
        </w:tc>
        <w:tc>
          <w:tcPr>
            <w:tcW w:w="7500" w:type="dxa"/>
          </w:tcPr>
          <w:p>
            <w:pPr/>
            <w:r>
              <w:rPr/>
              <w:t xml:space="preserve">Method A</w:t>
            </w:r>
          </w:p>
        </w:tc>
      </w:tr>
      <w:tr>
        <w:trPr/>
        <w:tc>
          <w:tcPr>
            <w:tcW w:w="2500" w:type="dxa"/>
            <w:shd w:val="clear" w:fill="D9D9D9"/>
          </w:tcPr>
          <w:p>
            <w:pPr/>
            <w:r>
              <w:rPr/>
              <w:t xml:space="preserve">Tests</w:t>
            </w:r>
          </w:p>
        </w:tc>
        <w:tc>
          <w:tcPr>
            <w:tcW w:w="7500" w:type="dxa"/>
          </w:tcPr>
          <w:p>
            <w:pPr/>
            <w:r>
              <w:rPr/>
              <w:t xml:space="preserve">Interferometer, Insertion Loss, Return Loss and Visual Final Inspection; all measured values are electronically archived</w:t>
            </w:r>
          </w:p>
        </w:tc>
      </w:tr>
      <w:tr>
        <w:trPr/>
        <w:tc>
          <w:tcPr>
            <w:tcW w:w="2500" w:type="dxa"/>
            <w:shd w:val="clear" w:fill="D9D9D9"/>
          </w:tcPr>
          <w:p>
            <w:pPr/>
            <w:r>
              <w:rPr/>
              <w:t xml:space="preserve"> </w:t>
            </w:r>
          </w:p>
        </w:tc>
        <w:tc>
          <w:tcPr>
            <w:tcW w:w="7500" w:type="dxa"/>
          </w:tcPr>
          <w:p>
            <w:pPr/>
            <w:r>
              <w:rPr/>
              <w:t xml:space="preserve">QS-Managementsystem ISO 9001, ISO 14001 and TL 9000</w:t>
            </w:r>
          </w:p>
        </w:tc>
      </w:tr>
    </w:tbl>
    <w:p>
      <w:pPr/>
      <w:r>
        <w:rPr/>
        <w:t xml:space="preserve">
xxx - stands for the cable length in cm (every length available)
</w:t>
      </w:r>
    </w:p>
    <w:p>
      <w:pPr/>
      <w:r>
        <w:rPr/>
        <w:t xml:space="preserve">***FO Connectors
</w:t>
      </w:r>
    </w:p>
    <w:p>
      <w:pPr/>
      <w:r>
        <w:rPr/>
        <w:t xml:space="preserve">The end faces of the connectors are optimized by means of Lasercleaving and machine polish. The MPO/MTP® plug has a defined fiber height of 1 - 3.5µ. The max. adjacent fiber height difference is 0.2µm and for all fibers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MPO/MTP® Male Push Pull Locking with Elite Pins (beige)</w:t>
            </w:r>
          </w:p>
        </w:tc>
      </w:tr>
      <w:tr>
        <w:trPr/>
        <w:tc>
          <w:tcPr>
            <w:tcW w:w="2500" w:type="dxa"/>
            <w:shd w:val="clear" w:fill="D9D9D9"/>
          </w:tcPr>
          <w:p>
            <w:pPr/>
            <w:r>
              <w:rPr/>
              <w:t xml:space="preserve">Ferrule</w:t>
            </w:r>
          </w:p>
        </w:tc>
        <w:tc>
          <w:tcPr>
            <w:tcW w:w="7500" w:type="dxa"/>
          </w:tcPr>
          <w:p>
            <w:pPr/>
            <w:r>
              <w:rPr/>
              <w:t xml:space="preserve">12 Fiber MM Elite® ferrule, PPS</w:t>
            </w:r>
          </w:p>
        </w:tc>
      </w:tr>
      <w:tr>
        <w:trPr/>
        <w:tc>
          <w:tcPr>
            <w:tcW w:w="2500" w:type="dxa"/>
            <w:shd w:val="clear" w:fill="D9D9D9"/>
          </w:tcPr>
          <w:p>
            <w:pPr/>
            <w:r>
              <w:rPr/>
              <w:t xml:space="preserve">Boot colour</w:t>
            </w:r>
          </w:p>
        </w:tc>
        <w:tc>
          <w:tcPr>
            <w:tcW w:w="7500" w:type="dxa"/>
          </w:tcPr>
          <w:p>
            <w:pPr/>
            <w:r>
              <w:rPr/>
              <w:t xml:space="preserve">Black</w:t>
            </w:r>
          </w:p>
        </w:tc>
      </w:tr>
      <w:tr>
        <w:trPr/>
        <w:tc>
          <w:tcPr>
            <w:tcW w:w="2500" w:type="dxa"/>
            <w:shd w:val="clear" w:fill="D9D9D9"/>
          </w:tcPr>
          <w:p>
            <w:pPr/>
            <w:r>
              <w:rPr/>
              <w:t xml:space="preserve">Temperature range</w:t>
            </w:r>
          </w:p>
        </w:tc>
        <w:tc>
          <w:tcPr>
            <w:tcW w:w="7500" w:type="dxa"/>
          </w:tcPr>
          <w:p>
            <w:pPr/>
            <w:r>
              <w:rPr/>
              <w:t xml:space="preserve">-40°C to +75°C</w:t>
            </w:r>
          </w:p>
        </w:tc>
      </w:tr>
      <w:tr>
        <w:trPr/>
        <w:tc>
          <w:tcPr>
            <w:tcW w:w="2500" w:type="dxa"/>
            <w:shd w:val="clear" w:fill="D9D9D9"/>
          </w:tcPr>
          <w:p>
            <w:pPr/>
            <w:r>
              <w:rPr/>
              <w:t xml:space="preserve">Manufacturer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50/125µ OM2</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20 dB</w:t>
            </w:r>
          </w:p>
        </w:tc>
      </w:tr>
      <w:tr>
        <w:trPr/>
        <w:tc>
          <w:tcPr/>
          <w:p>
            <w:pPr/>
            <w:r>
              <w:rPr/>
              <w:t xml:space="preserve">62.5/125µ OM1</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 </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r>
        <w:trPr/>
        <w:tc>
          <w:tcPr>
            <w:tcW w:w="2500" w:type="dxa"/>
            <w:shd w:val="clear" w:fill="D9D9D9"/>
          </w:tcPr>
          <w:p>
            <w:pPr/>
            <w:r>
              <w:rPr/>
              <w:t xml:space="preserve">Flame resistance</w:t>
            </w:r>
          </w:p>
        </w:tc>
        <w:tc>
          <w:tcPr>
            <w:tcW w:w="7500" w:type="dxa"/>
          </w:tcPr>
          <w:p>
            <w:pPr/>
            <w:r>
              <w:rPr/>
              <w:t xml:space="preserve">IEC 60332-1-2</w:t>
            </w:r>
          </w:p>
        </w:tc>
      </w:tr>
      <w:tr>
        <w:trPr/>
        <w:tc>
          <w:tcPr>
            <w:tcW w:w="2500" w:type="dxa"/>
            <w:shd w:val="clear" w:fill="D9D9D9"/>
          </w:tcPr>
          <w:p>
            <w:pPr/>
            <w:r>
              <w:rPr/>
              <w:t xml:space="preserve"> </w:t>
            </w:r>
          </w:p>
        </w:tc>
        <w:tc>
          <w:tcPr>
            <w:tcW w:w="7500" w:type="dxa"/>
          </w:tcPr>
          <w:p>
            <w:pPr/>
            <w:r>
              <w:rPr/>
              <w:t xml:space="preserve">IEC 60332-2-2</w:t>
            </w:r>
          </w:p>
        </w:tc>
      </w:tr>
      <w:tr>
        <w:trPr/>
        <w:tc>
          <w:tcPr>
            <w:tcW w:w="2500" w:type="dxa"/>
            <w:shd w:val="clear" w:fill="D9D9D9"/>
          </w:tcPr>
          <w:p>
            <w:pPr/>
            <w:r>
              <w:rPr/>
              <w:t xml:space="preserve"> </w:t>
            </w:r>
          </w:p>
        </w:tc>
        <w:tc>
          <w:tcPr>
            <w:tcW w:w="7500" w:type="dxa"/>
          </w:tcPr>
          <w:p>
            <w:pPr/>
            <w:r>
              <w:rPr/>
              <w:t xml:space="preserve">IEC 60754-1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IVH12G50-OM2</w:t>
            </w:r>
          </w:p>
        </w:tc>
      </w:tr>
      <w:tr>
        <w:trPr/>
        <w:tc>
          <w:tcPr>
            <w:tcW w:w="2500" w:type="dxa"/>
            <w:shd w:val="clear" w:fill="D9D9D9"/>
          </w:tcPr>
          <w:p>
            <w:pPr/>
            <w:r>
              <w:rPr/>
              <w:t xml:space="preserve">Loose tube</w:t>
            </w:r>
          </w:p>
        </w:tc>
        <w:tc>
          <w:tcPr>
            <w:tcW w:w="7500" w:type="dxa"/>
          </w:tcPr>
          <w:p>
            <w:pPr/>
            <w:r>
              <w:rPr/>
              <w:t xml:space="preserve">12 coated fibers within PVC-core tube</w:t>
            </w:r>
          </w:p>
        </w:tc>
      </w:tr>
      <w:tr>
        <w:trPr/>
        <w:tc>
          <w:tcPr>
            <w:tcW w:w="2500" w:type="dxa"/>
            <w:shd w:val="clear" w:fill="D9D9D9"/>
          </w:tcPr>
          <w:p>
            <w:pPr/>
            <w:r>
              <w:rPr/>
              <w:t xml:space="preserve">Wall thickness PVC-tube</w:t>
            </w:r>
          </w:p>
        </w:tc>
        <w:tc>
          <w:tcPr>
            <w:tcW w:w="7500" w:type="dxa"/>
          </w:tcPr>
          <w:p>
            <w:pPr/>
            <w:r>
              <w:rPr/>
              <w:t xml:space="preserve">0.20 mm – 0.25 mm</w:t>
            </w:r>
          </w:p>
        </w:tc>
      </w:tr>
      <w:tr>
        <w:trPr/>
        <w:tc>
          <w:tcPr>
            <w:tcW w:w="2500" w:type="dxa"/>
            <w:shd w:val="clear" w:fill="D9D9D9"/>
          </w:tcPr>
          <w:p>
            <w:pPr/>
            <w:r>
              <w:rPr/>
              <w:t xml:space="preserve">Fiber type</w:t>
            </w:r>
          </w:p>
        </w:tc>
        <w:tc>
          <w:tcPr>
            <w:tcW w:w="7500" w:type="dxa"/>
          </w:tcPr>
          <w:p>
            <w:pPr/>
            <w:r>
              <w:rPr/>
              <w:t xml:space="preserve">MM-OM2, 50/125µ, Corning</w:t>
            </w:r>
          </w:p>
        </w:tc>
      </w:tr>
      <w:tr>
        <w:trPr/>
        <w:tc>
          <w:tcPr>
            <w:tcW w:w="2500" w:type="dxa"/>
            <w:shd w:val="clear" w:fill="D9D9D9"/>
          </w:tcPr>
          <w:p>
            <w:pPr/>
            <w:r>
              <w:rPr/>
              <w:t xml:space="preserve">Strength members</w:t>
            </w:r>
          </w:p>
        </w:tc>
        <w:tc>
          <w:tcPr>
            <w:tcW w:w="7500" w:type="dxa"/>
          </w:tcPr>
          <w:p>
            <w:pPr/>
            <w:r>
              <w:rPr/>
              <w:t xml:space="preserve">Aramid yarn</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Orange, RAL 2003</w:t>
            </w:r>
          </w:p>
        </w:tc>
      </w:tr>
      <w:tr>
        <w:trPr/>
        <w:tc>
          <w:tcPr>
            <w:tcW w:w="2500" w:type="dxa"/>
            <w:shd w:val="clear" w:fill="D9D9D9"/>
          </w:tcPr>
          <w:p>
            <w:pPr/>
            <w:r>
              <w:rPr/>
              <w:t xml:space="preserve">Identification</w:t>
            </w:r>
          </w:p>
        </w:tc>
        <w:tc>
          <w:tcPr>
            <w:tcW w:w="7500" w:type="dxa"/>
          </w:tcPr>
          <w:p>
            <w:pPr/>
            <w:r>
              <w:rPr/>
              <w:t xml:space="preserve">"t d e – IVH12G50-MPO-OM2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3.0 ± 0.1 mm</w:t>
            </w:r>
          </w:p>
        </w:tc>
      </w:tr>
      <w:tr>
        <w:trPr/>
        <w:tc>
          <w:tcPr>
            <w:tcW w:w="2500" w:type="dxa"/>
            <w:shd w:val="clear" w:fill="D9D9D9"/>
          </w:tcPr>
          <w:p>
            <w:pPr/>
            <w:r>
              <w:rPr/>
              <w:t xml:space="preserve">Diameter PVC-core tube</w:t>
            </w:r>
          </w:p>
        </w:tc>
        <w:tc>
          <w:tcPr>
            <w:tcW w:w="7500" w:type="dxa"/>
          </w:tcPr>
          <w:p>
            <w:pPr/>
            <w:r>
              <w:rPr/>
              <w:t xml:space="preserve">1.8 ± 0.1 mm</w:t>
            </w:r>
          </w:p>
        </w:tc>
      </w:tr>
      <w:tr>
        <w:trPr/>
        <w:tc>
          <w:tcPr>
            <w:tcW w:w="2500" w:type="dxa"/>
            <w:shd w:val="clear" w:fill="D9D9D9"/>
          </w:tcPr>
          <w:p>
            <w:pPr/>
            <w:r>
              <w:rPr/>
              <w:t xml:space="preserve">Max. tensile load</w:t>
            </w:r>
          </w:p>
        </w:tc>
        <w:tc>
          <w:tcPr>
            <w:tcW w:w="7500" w:type="dxa"/>
          </w:tcPr>
          <w:p>
            <w:pPr/>
            <w:r>
              <w:rPr/>
              <w:t xml:space="preserve">300 N</w:t>
            </w:r>
          </w:p>
        </w:tc>
      </w:tr>
      <w:tr>
        <w:trPr/>
        <w:tc>
          <w:tcPr>
            <w:tcW w:w="2500" w:type="dxa"/>
            <w:shd w:val="clear" w:fill="D9D9D9"/>
          </w:tcPr>
          <w:p>
            <w:pPr/>
            <w:r>
              <w:rPr/>
              <w:t xml:space="preserve">Min. bending radius</w:t>
            </w:r>
          </w:p>
        </w:tc>
        <w:tc>
          <w:tcPr>
            <w:tcW w:w="7500" w:type="dxa"/>
          </w:tcPr>
          <w:p>
            <w:pPr/>
            <w:r>
              <w:rPr/>
              <w:t xml:space="preserve">30 mm</w:t>
            </w:r>
          </w:p>
        </w:tc>
      </w:tr>
      <w:tr>
        <w:trPr/>
        <w:tc>
          <w:tcPr>
            <w:tcW w:w="2500" w:type="dxa"/>
            <w:shd w:val="clear" w:fill="D9D9D9"/>
          </w:tcPr>
          <w:p>
            <w:pPr/>
            <w:r>
              <w:rPr/>
              <w:t xml:space="preserve">Temperature range (storage, installation, operation)</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L-MPP/MPP50I12G-Axxx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2025-01-11T21:59:55+00:00</dcterms:created>
  <dcterms:modified xsi:type="dcterms:W3CDTF">2025-01-11T21:59:55+00:00</dcterms:modified>
</cp:coreProperties>
</file>

<file path=docProps/custom.xml><?xml version="1.0" encoding="utf-8"?>
<Properties xmlns="http://schemas.openxmlformats.org/officeDocument/2006/custom-properties" xmlns:vt="http://schemas.openxmlformats.org/officeDocument/2006/docPropsVTypes"/>
</file>