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MPO/MPO Male 12G50/125µ OM4 LSOH, Typ B, Länge: 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MPO/MTP® Premium
</w:t>
      </w:r>
    </w:p>
    <w:p>
      <w:pPr/>
      <w:r>
        <w:rPr/>
        <w:t xml:space="preserve">**TECHNISCHE_DATEN
</w:t>
      </w:r>
    </w:p>
    <w:p>
      <w:pPr/>
      <w:r>
        <w:rPr/>
        <w:t xml:space="preserve">Das LWL Patchkabel ist beidseitig mit MPO/MTP®Steckverbindern konfektioniert. Das Kabel ist sehr schlank und flexibel. Die Endflächen der Steckverbinder sind mittels Lasercleaving und Maschinenpolitur optimiert. Die MPO/MTP®Stecker besitzen einen definierten Faserüberstand von 1 - 3µ mit einer Faserhöhendifferenz ≤ 0,5µ. Alle Systemkomponenten (Module, Trunkkabel und Patchkabel) sind zur Erreichung der Performance speziell aufeinander abgestimmt. Jedes Kabel ist beschriftet mit fortlaufender Seriennummer und Artikelnummer.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3mm Durchmesser, Bündeladerkonstruktion, FRNC, magenta</w:t>
            </w:r>
          </w:p>
        </w:tc>
      </w:tr>
      <w:tr>
        <w:trPr/>
        <w:tc>
          <w:tcPr>
            <w:tcW w:w="2500" w:type="dxa"/>
            <w:shd w:val="clear" w:fill="D9D9D9"/>
          </w:tcPr>
          <w:p>
            <w:pPr/>
            <w:r>
              <w:rPr/>
              <w:t xml:space="preserve">Option</w:t>
            </w:r>
          </w:p>
        </w:tc>
        <w:tc>
          <w:tcPr>
            <w:tcW w:w="7500" w:type="dxa"/>
          </w:tcPr>
          <w:p>
            <w:pPr/>
            <w:r>
              <w:rPr/>
              <w:t xml:space="preserve">Biegeunempfindliche ClearCurve® Faser von Corning</w:t>
            </w:r>
          </w:p>
        </w:tc>
      </w:tr>
      <w:tr>
        <w:trPr/>
        <w:tc>
          <w:tcPr>
            <w:tcW w:w="2500" w:type="dxa"/>
            <w:shd w:val="clear" w:fill="D9D9D9"/>
          </w:tcPr>
          <w:p>
            <w:pPr/>
            <w:r>
              <w:rPr/>
              <w:t xml:space="preserve">Stecker</w:t>
            </w:r>
          </w:p>
        </w:tc>
        <w:tc>
          <w:tcPr>
            <w:tcW w:w="7500" w:type="dxa"/>
          </w:tcPr>
          <w:p>
            <w:pPr/>
            <w:r>
              <w:rPr/>
              <w:t xml:space="preserve">MPO/MTP®Male Push Pull Verriegelung (magenta)</w:t>
            </w:r>
          </w:p>
        </w:tc>
      </w:tr>
      <w:tr>
        <w:trPr/>
        <w:tc>
          <w:tcPr>
            <w:tcW w:w="2500" w:type="dxa"/>
            <w:shd w:val="clear" w:fill="D9D9D9"/>
          </w:tcPr>
          <w:p>
            <w:pPr/>
            <w:r>
              <w:rPr/>
              <w:t xml:space="preserve">Belegung</w:t>
            </w:r>
          </w:p>
        </w:tc>
        <w:tc>
          <w:tcPr>
            <w:tcW w:w="7500" w:type="dxa"/>
          </w:tcPr>
          <w:p>
            <w:pPr/>
            <w:r>
              <w:rPr/>
              <w:t xml:space="preserve">Methode B</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xxx - steht für die Länge in m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r>
        <w:trPr/>
        <w:tc>
          <w:tcPr>
            <w:tcW w:w="2500" w:type="dxa"/>
            <w:shd w:val="clear" w:fill="D9D9D9"/>
          </w:tcPr>
          <w:p>
            <w:pPr/>
            <w:r>
              <w:rPr/>
              <w:t xml:space="preserve">Flammwidrigkeit</w:t>
            </w:r>
          </w:p>
        </w:tc>
        <w:tc>
          <w:tcPr>
            <w:tcW w:w="7500" w:type="dxa"/>
          </w:tcPr>
          <w:p>
            <w:pPr/>
            <w:r>
              <w:rPr/>
              <w:t xml:space="preserve">IEC 60332-1-2</w:t>
            </w:r>
          </w:p>
        </w:tc>
      </w:tr>
      <w:tr>
        <w:trPr/>
        <w:tc>
          <w:tcPr>
            <w:tcW w:w="2500" w:type="dxa"/>
            <w:shd w:val="clear" w:fill="D9D9D9"/>
          </w:tcPr>
          <w:p>
            <w:pPr/>
            <w:r>
              <w:rPr/>
              <w:t xml:space="preserve"> </w:t>
            </w:r>
          </w:p>
        </w:tc>
        <w:tc>
          <w:tcPr>
            <w:tcW w:w="7500" w:type="dxa"/>
          </w:tcPr>
          <w:p>
            <w:pPr/>
            <w:r>
              <w:rPr/>
              <w:t xml:space="preserve">IEC 60332-2-2</w:t>
            </w:r>
          </w:p>
        </w:tc>
      </w:tr>
      <w:tr>
        <w:trPr/>
        <w:tc>
          <w:tcPr>
            <w:tcW w:w="2500" w:type="dxa"/>
            <w:shd w:val="clear" w:fill="D9D9D9"/>
          </w:tcPr>
          <w:p>
            <w:pPr/>
            <w:r>
              <w:rPr/>
              <w:t xml:space="preserve"> </w:t>
            </w:r>
          </w:p>
        </w:tc>
        <w:tc>
          <w:tcPr>
            <w:tcW w:w="7500" w:type="dxa"/>
          </w:tcPr>
          <w:p>
            <w:pPr/>
            <w:r>
              <w:rPr/>
              <w:t xml:space="preserve">IEC 60754-1</w:t>
            </w:r>
          </w:p>
        </w:tc>
      </w:tr>
      <w:tr>
        <w:trPr/>
        <w:tc>
          <w:tcPr>
            <w:tcW w:w="2500" w:type="dxa"/>
            <w:shd w:val="clear" w:fill="D9D9D9"/>
          </w:tcPr>
          <w:p>
            <w:pPr/>
            <w:r>
              <w:rPr/>
              <w:t xml:space="preserve"> </w:t>
            </w:r>
          </w:p>
        </w:tc>
        <w:tc>
          <w:tcPr>
            <w:tcW w:w="7500" w:type="dxa"/>
          </w:tcPr>
          <w:p>
            <w:pPr/>
            <w:r>
              <w:rPr/>
              <w:t xml:space="preserve">IEC 60754-2</w:t>
            </w:r>
          </w:p>
        </w:tc>
      </w:tr>
      <w:tr>
        <w:trPr/>
        <w:tc>
          <w:tcPr>
            <w:tcW w:w="2500" w:type="dxa"/>
            <w:shd w:val="clear" w:fill="D9D9D9"/>
          </w:tcPr>
          <w:p>
            <w:pPr/>
            <w:r>
              <w:rPr/>
              <w:t xml:space="preserve"> </w:t>
            </w:r>
          </w:p>
        </w:tc>
        <w:tc>
          <w:tcPr>
            <w:tcW w:w="7500" w:type="dxa"/>
          </w:tcPr>
          <w:p>
            <w:pPr/>
            <w:r>
              <w:rPr/>
              <w:t xml:space="preserve">IEC 61034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IVH12G50-OM4</w:t>
            </w:r>
          </w:p>
        </w:tc>
      </w:tr>
      <w:tr>
        <w:trPr/>
        <w:tc>
          <w:tcPr>
            <w:tcW w:w="2500" w:type="dxa"/>
            <w:shd w:val="clear" w:fill="D9D9D9"/>
          </w:tcPr>
          <w:p>
            <w:pPr/>
            <w:r>
              <w:rPr/>
              <w:t xml:space="preserve">Bündelader</w:t>
            </w:r>
          </w:p>
        </w:tc>
        <w:tc>
          <w:tcPr>
            <w:tcW w:w="7500" w:type="dxa"/>
          </w:tcPr>
          <w:p>
            <w:pPr/>
            <w:r>
              <w:rPr/>
              <w:t xml:space="preserve">12 sekundärgecoatete Fasern im PVC-Röhrchen</w:t>
            </w:r>
          </w:p>
        </w:tc>
      </w:tr>
      <w:tr>
        <w:trPr/>
        <w:tc>
          <w:tcPr>
            <w:tcW w:w="2500" w:type="dxa"/>
            <w:shd w:val="clear" w:fill="D9D9D9"/>
          </w:tcPr>
          <w:p>
            <w:pPr/>
            <w:r>
              <w:rPr/>
              <w:t xml:space="preserve">Wandstärke PVC-Röhrchen</w:t>
            </w:r>
          </w:p>
        </w:tc>
        <w:tc>
          <w:tcPr>
            <w:tcW w:w="7500" w:type="dxa"/>
          </w:tcPr>
          <w:p>
            <w:pPr/>
            <w:r>
              <w:rPr/>
              <w:t xml:space="preserve">0.20 mm – 0.25 mm</w:t>
            </w:r>
          </w:p>
        </w:tc>
      </w:tr>
      <w:tr>
        <w:trPr/>
        <w:tc>
          <w:tcPr>
            <w:tcW w:w="2500" w:type="dxa"/>
            <w:shd w:val="clear" w:fill="D9D9D9"/>
          </w:tcPr>
          <w:p>
            <w:pPr/>
            <w:r>
              <w:rPr/>
              <w:t xml:space="preserve">Fasertyp</w:t>
            </w:r>
          </w:p>
        </w:tc>
        <w:tc>
          <w:tcPr>
            <w:tcW w:w="7500" w:type="dxa"/>
          </w:tcPr>
          <w:p>
            <w:pPr/>
            <w:r>
              <w:rPr/>
              <w:t xml:space="preserve">MM-OM4, 50/125µ, Corning ClearCurve OM4</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Magenta, RAL 4003</w:t>
            </w:r>
          </w:p>
        </w:tc>
      </w:tr>
      <w:tr>
        <w:trPr/>
        <w:tc>
          <w:tcPr>
            <w:tcW w:w="2500" w:type="dxa"/>
            <w:shd w:val="clear" w:fill="D9D9D9"/>
          </w:tcPr>
          <w:p>
            <w:pPr/>
            <w:r>
              <w:rPr/>
              <w:t xml:space="preserve">Standardaufdruck</w:t>
            </w:r>
          </w:p>
        </w:tc>
        <w:tc>
          <w:tcPr>
            <w:tcW w:w="7500" w:type="dxa"/>
          </w:tcPr>
          <w:p>
            <w:pPr/>
            <w:r>
              <w:rPr/>
              <w:t xml:space="preserve">"t d e – IVH12G50-MPO-OM4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3.0 ± 0.1 mm</w:t>
            </w:r>
          </w:p>
        </w:tc>
      </w:tr>
      <w:tr>
        <w:trPr/>
        <w:tc>
          <w:tcPr>
            <w:tcW w:w="2500" w:type="dxa"/>
            <w:shd w:val="clear" w:fill="D9D9D9"/>
          </w:tcPr>
          <w:p>
            <w:pPr/>
            <w:r>
              <w:rPr/>
              <w:t xml:space="preserve">Durchmesser PVC-Röhrchen</w:t>
            </w:r>
          </w:p>
        </w:tc>
        <w:tc>
          <w:tcPr>
            <w:tcW w:w="7500" w:type="dxa"/>
          </w:tcPr>
          <w:p>
            <w:pPr/>
            <w:r>
              <w:rPr/>
              <w:t xml:space="preserve">1.8 ± 0.1 mm</w:t>
            </w:r>
          </w:p>
        </w:tc>
      </w:tr>
      <w:tr>
        <w:trPr/>
        <w:tc>
          <w:tcPr>
            <w:tcW w:w="2500" w:type="dxa"/>
            <w:shd w:val="clear" w:fill="D9D9D9"/>
          </w:tcPr>
          <w:p>
            <w:pPr/>
            <w:r>
              <w:rPr/>
              <w:t xml:space="preserve">Max. Zugfestigkeit</w:t>
            </w:r>
          </w:p>
        </w:tc>
        <w:tc>
          <w:tcPr>
            <w:tcW w:w="7500" w:type="dxa"/>
          </w:tcPr>
          <w:p>
            <w:pPr/>
            <w:r>
              <w:rPr/>
              <w:t xml:space="preserve">300 N</w:t>
            </w:r>
          </w:p>
        </w:tc>
      </w:tr>
      <w:tr>
        <w:trPr/>
        <w:tc>
          <w:tcPr>
            <w:tcW w:w="2500" w:type="dxa"/>
            <w:shd w:val="clear" w:fill="D9D9D9"/>
          </w:tcPr>
          <w:p>
            <w:pPr/>
            <w:r>
              <w:rPr/>
              <w:t xml:space="preserve">Min. Biegeradius</w:t>
            </w:r>
          </w:p>
        </w:tc>
        <w:tc>
          <w:tcPr>
            <w:tcW w:w="7500" w:type="dxa"/>
          </w:tcPr>
          <w:p>
            <w:pPr/>
            <w:r>
              <w:rPr/>
              <w:t xml:space="preserve">30 mm</w:t>
            </w:r>
          </w:p>
        </w:tc>
      </w:tr>
      <w:tr>
        <w:trPr/>
        <w:tc>
          <w:tcPr>
            <w:tcW w:w="2500" w:type="dxa"/>
            <w:shd w:val="clear" w:fill="D9D9D9"/>
          </w:tcPr>
          <w:p>
            <w:pPr/>
            <w:r>
              <w:rPr/>
              <w:t xml:space="preserve">Temperaturbereich (Lager, Installation, Betrieb)</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P-MPP/MPP50I12G4Bxxx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2025-03-15T09:50:55+00:00</dcterms:created>
  <dcterms:modified xsi:type="dcterms:W3CDTF">2025-03-15T09:50:55+00:00</dcterms:modified>
</cp:coreProperties>
</file>

<file path=docProps/custom.xml><?xml version="1.0" encoding="utf-8"?>
<Properties xmlns="http://schemas.openxmlformats.org/officeDocument/2006/custom-properties" xmlns:vt="http://schemas.openxmlformats.org/officeDocument/2006/docPropsVTypes"/>
</file>