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FO Mini Fanout MPO24 Female/2x MPO12 Male 24G50/125µ OM3 100GbE, Type B, Length: xxx
</w:t>
      </w:r>
    </w:p>
    <w:p>
      <w:pPr/>
      <w:r>
        <w:rPr/>
        <w:t xml:space="preserve">**tde - Fiber Optic Assemblies
</w:t>
      </w:r>
    </w:p>
    <w:p>
      <w:pPr/>
      <w:r>
        <w:rPr/>
        <w:t xml:space="preserve">The tde patch  and trunk cables are manufactured completely at the German facility in Ohrte. Production processes at tde meet the latest standards, and the company has one of the most up-to-date fiber optic assembly houses in Europe. Fiber optic patch cables and trunk cables are manufactured in many different configurations using highly automated processes on two independent mass production lines. The range of products on offer encompasses the entire spectrum of connector types available on the market. Production capacity is around 100,000 fiber optic connectors per month, and this can be ramped up easily whenever required. To guarantee consistently top quality, only the best components from renowned vendors are used. All tde production staff have the necessary qualifications and education, and have been well trained in using specialist technical equipment such as laser cleavers and glue-dispensing robots.
Each cable application is subjected to a full test procedure comprising interferometer measurements, insertion loss and return loss measurements and a final visual inspection to ensure that only 100% error-free products are shipped to the customer.
Products made by tde perform at least internationally accepted quality standards and norms. The quality management system is ISO 9001, ISO 14001 and TL9000 certified. 
</w:t>
      </w:r>
    </w:p>
    <w:p>
      <w:pPr/>
      <w:r>
        <w:rPr/>
        <w:t xml:space="preserve">**FO MPO/MTP® Premium
</w:t>
      </w:r>
    </w:p>
    <w:p>
      <w:pPr/>
      <w:r>
        <w:rPr/>
        <w:t xml:space="preserve">**TECHNISCHE_DATEN
</w:t>
      </w:r>
    </w:p>
    <w:p>
      <w:pPr/>
      <w:r>
        <w:rPr/>
        <w:t xml:space="preserve">The end faces of the connectors are optimized by means of Lasercleaving and machine polish. The MPO/MTP®plug has a defined fiber height of 1 - 3.5µ. The max. adjacent fiber height difference is 0.2µm and for all fibers 0.3µm.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Cable</w:t>
            </w:r>
          </w:p>
        </w:tc>
        <w:tc>
          <w:tcPr>
            <w:tcW w:w="7500" w:type="dxa"/>
          </w:tcPr>
          <w:p>
            <w:pPr/>
            <w:r>
              <w:rPr/>
              <w:t xml:space="preserve">Round cable 3.6 mm, loose tube, LSOH, aqua</w:t>
            </w:r>
          </w:p>
        </w:tc>
      </w:tr>
      <w:tr>
        <w:trPr/>
        <w:tc>
          <w:tcPr>
            <w:tcW w:w="2500" w:type="dxa"/>
            <w:shd w:val="clear" w:fill="D9D9D9"/>
          </w:tcPr>
          <w:p>
            <w:pPr/>
            <w:r>
              <w:rPr/>
              <w:t xml:space="preserve">Connectors</w:t>
            </w:r>
          </w:p>
        </w:tc>
        <w:tc>
          <w:tcPr>
            <w:tcW w:w="7500" w:type="dxa"/>
          </w:tcPr>
          <w:p>
            <w:pPr/>
            <w:r>
              <w:rPr/>
              <w:t xml:space="preserve">MPO/MTP®Female/Male Push Pull (aqua)</w:t>
            </w:r>
          </w:p>
        </w:tc>
      </w:tr>
      <w:tr>
        <w:trPr/>
        <w:tc>
          <w:tcPr>
            <w:tcW w:w="2500" w:type="dxa"/>
            <w:shd w:val="clear" w:fill="D9D9D9"/>
          </w:tcPr>
          <w:p>
            <w:pPr/>
            <w:r>
              <w:rPr/>
              <w:t xml:space="preserve">Pin out</w:t>
            </w:r>
          </w:p>
        </w:tc>
        <w:tc>
          <w:tcPr>
            <w:tcW w:w="7500" w:type="dxa"/>
          </w:tcPr>
          <w:p>
            <w:pPr/>
            <w:r>
              <w:rPr/>
              <w:t xml:space="preserve">Method B</w:t>
            </w:r>
          </w:p>
        </w:tc>
      </w:tr>
      <w:tr>
        <w:trPr/>
        <w:tc>
          <w:tcPr>
            <w:tcW w:w="2500" w:type="dxa"/>
            <w:shd w:val="clear" w:fill="D9D9D9"/>
          </w:tcPr>
          <w:p>
            <w:pPr/>
            <w:r>
              <w:rPr/>
              <w:t xml:space="preserve">Tests</w:t>
            </w:r>
          </w:p>
        </w:tc>
        <w:tc>
          <w:tcPr>
            <w:tcW w:w="7500" w:type="dxa"/>
          </w:tcPr>
          <w:p>
            <w:pPr/>
            <w:r>
              <w:rPr/>
              <w:t xml:space="preserve">Interferometer, Insertion Loss, Return Loss and Visual Final Inspection; all measured values are electronically archived</w:t>
            </w:r>
          </w:p>
        </w:tc>
      </w:tr>
      <w:tr>
        <w:trPr/>
        <w:tc>
          <w:tcPr>
            <w:tcW w:w="2500" w:type="dxa"/>
            <w:shd w:val="clear" w:fill="D9D9D9"/>
          </w:tcPr>
          <w:p>
            <w:pPr/>
            <w:r>
              <w:rPr/>
              <w:t xml:space="preserve"> </w:t>
            </w:r>
          </w:p>
        </w:tc>
        <w:tc>
          <w:tcPr>
            <w:tcW w:w="7500" w:type="dxa"/>
          </w:tcPr>
          <w:p>
            <w:pPr/>
            <w:r>
              <w:rPr/>
              <w:t xml:space="preserve">QS-Managementsystem ISO 9001, ISO 14001 and TL 9000</w:t>
            </w:r>
          </w:p>
        </w:tc>
      </w:tr>
    </w:tbl>
    <w:p>
      <w:pPr/>
      <w:r>
        <w:rPr/>
        <w:t xml:space="preserve">xxx - stands for the cable length in m (every length available)
</w:t>
      </w:r>
    </w:p>
    <w:p>
      <w:pPr/>
      <w:r>
        <w:rPr/>
        <w:t xml:space="preserve">***FO Connectors
</w:t>
      </w:r>
    </w:p>
    <w:p>
      <w:pPr/>
      <w:r>
        <w:rPr/>
        <w:t xml:space="preserve">The end faces of the connectors are optimized by means of Lasercleaving and machine polish. The MPO/MTP® plug has a defined fiber height of 1 - 3.5µ. The max. adjacent fiber height difference is 0.2µm and for all fibers 0.3µm.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MPO/MTP® Female Push Pull Locking (aqua)</w:t>
            </w:r>
          </w:p>
        </w:tc>
      </w:tr>
      <w:tr>
        <w:trPr/>
        <w:tc>
          <w:tcPr>
            <w:tcW w:w="2500" w:type="dxa"/>
            <w:shd w:val="clear" w:fill="D9D9D9"/>
          </w:tcPr>
          <w:p>
            <w:pPr/>
            <w:r>
              <w:rPr/>
              <w:t xml:space="preserve">Ferrule</w:t>
            </w:r>
          </w:p>
        </w:tc>
        <w:tc>
          <w:tcPr>
            <w:tcW w:w="7500" w:type="dxa"/>
          </w:tcPr>
          <w:p>
            <w:pPr/>
            <w:r>
              <w:rPr/>
              <w:t xml:space="preserve">24 Fiber MM Elite® ferrule, PPS</w:t>
            </w:r>
          </w:p>
        </w:tc>
      </w:tr>
      <w:tr>
        <w:trPr/>
        <w:tc>
          <w:tcPr>
            <w:tcW w:w="2500" w:type="dxa"/>
            <w:shd w:val="clear" w:fill="D9D9D9"/>
          </w:tcPr>
          <w:p>
            <w:pPr/>
            <w:r>
              <w:rPr/>
              <w:t xml:space="preserve">Boot colour</w:t>
            </w:r>
          </w:p>
        </w:tc>
        <w:tc>
          <w:tcPr>
            <w:tcW w:w="7500" w:type="dxa"/>
          </w:tcPr>
          <w:p>
            <w:pPr/>
            <w:r>
              <w:rPr/>
              <w:t xml:space="preserve">Red</w:t>
            </w:r>
          </w:p>
        </w:tc>
      </w:tr>
      <w:tr>
        <w:trPr/>
        <w:tc>
          <w:tcPr>
            <w:tcW w:w="2500" w:type="dxa"/>
            <w:shd w:val="clear" w:fill="D9D9D9"/>
          </w:tcPr>
          <w:p>
            <w:pPr/>
            <w:r>
              <w:rPr/>
              <w:t xml:space="preserve">Temperature range</w:t>
            </w:r>
          </w:p>
        </w:tc>
        <w:tc>
          <w:tcPr>
            <w:tcW w:w="7500" w:type="dxa"/>
          </w:tcPr>
          <w:p>
            <w:pPr/>
            <w:r>
              <w:rPr/>
              <w:t xml:space="preserve">-40°C to +75°C</w:t>
            </w:r>
          </w:p>
        </w:tc>
      </w:tr>
      <w:tr>
        <w:trPr/>
        <w:tc>
          <w:tcPr>
            <w:tcW w:w="2500" w:type="dxa"/>
            <w:shd w:val="clear" w:fill="D9D9D9"/>
          </w:tcPr>
          <w:p>
            <w:pPr/>
            <w:r>
              <w:rPr/>
              <w:t xml:space="preserve">Manufacturer</w:t>
            </w:r>
          </w:p>
        </w:tc>
        <w:tc>
          <w:tcPr>
            <w:tcW w:w="7500" w:type="dxa"/>
          </w:tcPr>
          <w:p>
            <w:pPr/>
            <w:r>
              <w:rPr/>
              <w:t xml:space="preserve">tde/US Conec</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Fiber</w:t>
            </w:r>
          </w:p>
        </w:tc>
        <w:tc>
          <w:tcPr>
            <w:shd w:val="clear" w:fill="D9D9D9"/>
          </w:tcPr>
          <w:p>
            <w:pPr/>
            <w:r>
              <w:rPr/>
              <w:t xml:space="preserve">Type</w:t>
            </w:r>
          </w:p>
        </w:tc>
        <w:tc>
          <w:tcPr>
            <w:shd w:val="clear" w:fill="D9D9D9"/>
          </w:tcPr>
          <w:p>
            <w:pPr/>
            <w:r>
              <w:rPr/>
              <w:t xml:space="preserve">Wavelength</w:t>
            </w:r>
          </w:p>
        </w:tc>
        <w:tc>
          <w:tcPr>
            <w:shd w:val="clear" w:fill="D9D9D9"/>
          </w:tcPr>
          <w:p>
            <w:pPr/>
            <w:r>
              <w:rPr/>
              <w:t xml:space="preserve">Insertion loss typ.</w:t>
            </w:r>
          </w:p>
        </w:tc>
        <w:tc>
          <w:tcPr>
            <w:shd w:val="clear" w:fill="D9D9D9"/>
          </w:tcPr>
          <w:p>
            <w:pPr/>
            <w:r>
              <w:rPr/>
              <w:t xml:space="preserve">Insertion loss max.</w:t>
            </w:r>
          </w:p>
        </w:tc>
        <w:tc>
          <w:tcPr>
            <w:shd w:val="clear" w:fill="D9D9D9"/>
          </w:tcPr>
          <w:p>
            <w:pPr/>
            <w:r>
              <w:rPr/>
              <w:t xml:space="preserve">Return loss min.</w:t>
            </w:r>
          </w:p>
        </w:tc>
      </w:tr>
      <w:tr>
        <w:trPr/>
        <w:tc>
          <w:tcPr/>
          <w:p>
            <w:pPr/>
            <w:r>
              <w:rPr/>
              <w:t xml:space="preserve">50/125µ OM3</w:t>
            </w:r>
          </w:p>
        </w:tc>
        <w:tc>
          <w:tcPr/>
          <w:p>
            <w:pPr/>
            <w:r>
              <w:rPr/>
              <w:t xml:space="preserve">MPO/MTP®</w:t>
            </w:r>
          </w:p>
        </w:tc>
        <w:tc>
          <w:tcPr/>
          <w:p>
            <w:pPr/>
            <w:r>
              <w:rPr/>
              <w:t xml:space="preserve">850 nm</w:t>
            </w:r>
          </w:p>
        </w:tc>
        <w:tc>
          <w:tcPr/>
          <w:p>
            <w:pPr/>
            <w:r>
              <w:rPr/>
              <w:t xml:space="preserve">≤ 0.20 dB</w:t>
            </w:r>
          </w:p>
        </w:tc>
        <w:tc>
          <w:tcPr/>
          <w:p>
            <w:pPr/>
            <w:r>
              <w:rPr/>
              <w:t xml:space="preserve">0.35 dB</w:t>
            </w:r>
          </w:p>
        </w:tc>
        <w:tc>
          <w:tcPr/>
          <w:p>
            <w:pPr/>
            <w:r>
              <w:rPr/>
              <w:t xml:space="preserve">25 dB</w:t>
            </w:r>
          </w:p>
        </w:tc>
      </w:tr>
    </w:tbl>
    <w:p>
      <w:pPr/>
      <w:r>
        <w:rPr/>
        <w:t xml:space="preserve"/>
      </w:r>
    </w:p>
    <w:p>
      <w:pPr/>
      <w:r>
        <w:rPr/>
        <w:t xml:space="preserve">***FO Connectors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MPO/MTP® Male Push Pull Locking (aqua)</w:t>
            </w:r>
          </w:p>
        </w:tc>
      </w:tr>
      <w:tr>
        <w:trPr/>
        <w:tc>
          <w:tcPr>
            <w:tcW w:w="2500" w:type="dxa"/>
            <w:shd w:val="clear" w:fill="D9D9D9"/>
          </w:tcPr>
          <w:p>
            <w:pPr/>
            <w:r>
              <w:rPr/>
              <w:t xml:space="preserve">Ferrule</w:t>
            </w:r>
          </w:p>
        </w:tc>
        <w:tc>
          <w:tcPr>
            <w:tcW w:w="7500" w:type="dxa"/>
          </w:tcPr>
          <w:p>
            <w:pPr/>
            <w:r>
              <w:rPr/>
              <w:t xml:space="preserve">12 Fiber MM Elite® ferrule, PPS</w:t>
            </w:r>
          </w:p>
        </w:tc>
      </w:tr>
      <w:tr>
        <w:trPr/>
        <w:tc>
          <w:tcPr>
            <w:tcW w:w="2500" w:type="dxa"/>
            <w:shd w:val="clear" w:fill="D9D9D9"/>
          </w:tcPr>
          <w:p>
            <w:pPr/>
            <w:r>
              <w:rPr/>
              <w:t xml:space="preserve">Boot colour</w:t>
            </w:r>
          </w:p>
        </w:tc>
        <w:tc>
          <w:tcPr>
            <w:tcW w:w="7500" w:type="dxa"/>
          </w:tcPr>
          <w:p>
            <w:pPr/>
            <w:r>
              <w:rPr/>
              <w:t xml:space="preserve">Black</w:t>
            </w:r>
          </w:p>
        </w:tc>
      </w:tr>
      <w:tr>
        <w:trPr/>
        <w:tc>
          <w:tcPr>
            <w:tcW w:w="2500" w:type="dxa"/>
            <w:shd w:val="clear" w:fill="D9D9D9"/>
          </w:tcPr>
          <w:p>
            <w:pPr/>
            <w:r>
              <w:rPr/>
              <w:t xml:space="preserve">Manufacturer</w:t>
            </w:r>
          </w:p>
        </w:tc>
        <w:tc>
          <w:tcPr>
            <w:tcW w:w="7500" w:type="dxa"/>
          </w:tcPr>
          <w:p>
            <w:pPr/>
            <w:r>
              <w:rPr/>
              <w:t xml:space="preserve">tde/US Conec</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Fiber</w:t>
            </w:r>
          </w:p>
        </w:tc>
        <w:tc>
          <w:tcPr>
            <w:shd w:val="clear" w:fill="D9D9D9"/>
          </w:tcPr>
          <w:p>
            <w:pPr/>
            <w:r>
              <w:rPr/>
              <w:t xml:space="preserve">Type</w:t>
            </w:r>
          </w:p>
        </w:tc>
        <w:tc>
          <w:tcPr>
            <w:shd w:val="clear" w:fill="D9D9D9"/>
          </w:tcPr>
          <w:p>
            <w:pPr/>
            <w:r>
              <w:rPr/>
              <w:t xml:space="preserve">Wavelength</w:t>
            </w:r>
          </w:p>
        </w:tc>
        <w:tc>
          <w:tcPr>
            <w:shd w:val="clear" w:fill="D9D9D9"/>
          </w:tcPr>
          <w:p>
            <w:pPr/>
            <w:r>
              <w:rPr/>
              <w:t xml:space="preserve">Insertion loss typ.</w:t>
            </w:r>
          </w:p>
        </w:tc>
        <w:tc>
          <w:tcPr>
            <w:shd w:val="clear" w:fill="D9D9D9"/>
          </w:tcPr>
          <w:p>
            <w:pPr/>
            <w:r>
              <w:rPr/>
              <w:t xml:space="preserve">Insertion loss max.</w:t>
            </w:r>
          </w:p>
        </w:tc>
        <w:tc>
          <w:tcPr>
            <w:shd w:val="clear" w:fill="D9D9D9"/>
          </w:tcPr>
          <w:p>
            <w:pPr/>
            <w:r>
              <w:rPr/>
              <w:t xml:space="preserve">Return loss min.</w:t>
            </w:r>
          </w:p>
        </w:tc>
      </w:tr>
      <w:tr>
        <w:trPr/>
        <w:tc>
          <w:tcPr/>
          <w:p>
            <w:pPr/>
            <w:r>
              <w:rPr/>
              <w:t xml:space="preserve">50/125µ OM3</w:t>
            </w:r>
          </w:p>
        </w:tc>
        <w:tc>
          <w:tcPr/>
          <w:p>
            <w:pPr/>
            <w:r>
              <w:rPr/>
              <w:t xml:space="preserve">MPO/MTP®</w:t>
            </w:r>
          </w:p>
        </w:tc>
        <w:tc>
          <w:tcPr/>
          <w:p>
            <w:pPr/>
            <w:r>
              <w:rPr/>
              <w:t xml:space="preserve">850 nm</w:t>
            </w:r>
          </w:p>
        </w:tc>
        <w:tc>
          <w:tcPr/>
          <w:p>
            <w:pPr/>
            <w:r>
              <w:rPr/>
              <w:t xml:space="preserve">≤ 0.14 dB</w:t>
            </w:r>
          </w:p>
        </w:tc>
        <w:tc>
          <w:tcPr/>
          <w:p>
            <w:pPr/>
            <w:r>
              <w:rPr/>
              <w:t xml:space="preserve">0.25 dB</w:t>
            </w:r>
          </w:p>
        </w:tc>
        <w:tc>
          <w:tcPr/>
          <w:p>
            <w:pPr/>
            <w:r>
              <w:rPr/>
              <w:t xml:space="preserve">35 dB</w:t>
            </w:r>
          </w:p>
        </w:tc>
      </w:tr>
    </w:tbl>
    <w:p>
      <w:pPr/>
      <w:r>
        <w:rPr/>
        <w:t xml:space="preserve"/>
      </w:r>
    </w:p>
    <w:p>
      <w:pPr/>
      <w:r>
        <w:rPr/>
        <w:t xml:space="preserve">***FO Fan-Out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Length Fan-Out</w:t>
            </w:r>
          </w:p>
        </w:tc>
        <w:tc>
          <w:tcPr>
            <w:tcW w:w="7500" w:type="dxa"/>
          </w:tcPr>
          <w:p>
            <w:pPr/>
            <w:r>
              <w:rPr/>
              <w:t xml:space="preserve">40 mm</w:t>
            </w:r>
          </w:p>
        </w:tc>
      </w:tr>
      <w:tr>
        <w:trPr/>
        <w:tc>
          <w:tcPr>
            <w:tcW w:w="2500" w:type="dxa"/>
            <w:shd w:val="clear" w:fill="D9D9D9"/>
          </w:tcPr>
          <w:p>
            <w:pPr/>
            <w:r>
              <w:rPr/>
              <w:t xml:space="preserve">Max. Ø Fan-Out</w:t>
            </w:r>
          </w:p>
        </w:tc>
        <w:tc>
          <w:tcPr>
            <w:tcW w:w="7500" w:type="dxa"/>
          </w:tcPr>
          <w:p>
            <w:pPr/>
            <w:r>
              <w:rPr/>
              <w:t xml:space="preserve">10 mm</w:t>
            </w:r>
          </w:p>
        </w:tc>
      </w:tr>
      <w:tr>
        <w:trPr/>
        <w:tc>
          <w:tcPr>
            <w:tcW w:w="2500" w:type="dxa"/>
            <w:shd w:val="clear" w:fill="D9D9D9"/>
          </w:tcPr>
          <w:p>
            <w:pPr/>
            <w:r>
              <w:rPr/>
              <w:t xml:space="preserve">Parallel connectors</w:t>
            </w:r>
          </w:p>
        </w:tc>
        <w:tc>
          <w:tcPr>
            <w:tcW w:w="7500" w:type="dxa"/>
          </w:tcPr>
          <w:p>
            <w:pPr/>
            <w:r>
              <w:rPr/>
              <w:t xml:space="preserve">2</w:t>
            </w:r>
          </w:p>
        </w:tc>
      </w:tr>
    </w:tbl>
    <w:p>
      <w:pPr/>
      <w:r>
        <w:rPr/>
        <w:t xml:space="preserve"/>
      </w:r>
    </w:p>
    <w:p>
      <w:pPr/>
      <w:r>
        <w:rPr/>
        <w:t xml:space="preserve">***FO Cables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Standards</w:t>
            </w:r>
          </w:p>
        </w:tc>
        <w:tc>
          <w:tcPr>
            <w:tcW w:w="7500" w:type="dxa"/>
          </w:tcPr>
          <w:p>
            <w:pPr/>
            <w:r>
              <w:rPr/>
              <w:t xml:space="preserve">EN 50173-5</w:t>
            </w:r>
          </w:p>
        </w:tc>
      </w:tr>
      <w:tr>
        <w:trPr/>
        <w:tc>
          <w:tcPr>
            <w:tcW w:w="2500" w:type="dxa"/>
            <w:shd w:val="clear" w:fill="D9D9D9"/>
          </w:tcPr>
          <w:p>
            <w:pPr/>
            <w:r>
              <w:rPr/>
              <w:t xml:space="preserve"> </w:t>
            </w:r>
          </w:p>
        </w:tc>
        <w:tc>
          <w:tcPr>
            <w:tcW w:w="7500" w:type="dxa"/>
          </w:tcPr>
          <w:p>
            <w:pPr/>
            <w:r>
              <w:rPr/>
              <w:t xml:space="preserve">IEC 60794-2-20</w:t>
            </w:r>
          </w:p>
        </w:tc>
      </w:tr>
      <w:tr>
        <w:trPr/>
        <w:tc>
          <w:tcPr>
            <w:tcW w:w="2500" w:type="dxa"/>
            <w:shd w:val="clear" w:fill="D9D9D9"/>
          </w:tcPr>
          <w:p>
            <w:pPr/>
            <w:r>
              <w:rPr/>
              <w:t xml:space="preserve"> </w:t>
            </w:r>
          </w:p>
        </w:tc>
        <w:tc>
          <w:tcPr>
            <w:tcW w:w="7500" w:type="dxa"/>
          </w:tcPr>
          <w:p>
            <w:pPr/>
            <w:r>
              <w:rPr/>
              <w:t xml:space="preserve">ISO/IEC 24764</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IVH24G50-OM3</w:t>
            </w:r>
          </w:p>
        </w:tc>
      </w:tr>
      <w:tr>
        <w:trPr/>
        <w:tc>
          <w:tcPr>
            <w:tcW w:w="2500" w:type="dxa"/>
            <w:shd w:val="clear" w:fill="D9D9D9"/>
          </w:tcPr>
          <w:p>
            <w:pPr/>
            <w:r>
              <w:rPr/>
              <w:t xml:space="preserve">Fiber</w:t>
            </w:r>
          </w:p>
        </w:tc>
        <w:tc>
          <w:tcPr>
            <w:tcW w:w="7500" w:type="dxa"/>
          </w:tcPr>
          <w:p>
            <w:pPr/>
            <w:r>
              <w:rPr/>
              <w:t xml:space="preserve">24 primary coated fibres nominally 242 μm, arranged in 2 groups of 12 fibres, Group 1: Red id tread Group 2: Green id tread</w:t>
            </w:r>
          </w:p>
        </w:tc>
      </w:tr>
      <w:tr>
        <w:trPr/>
        <w:tc>
          <w:tcPr>
            <w:tcW w:w="2500" w:type="dxa"/>
            <w:shd w:val="clear" w:fill="D9D9D9"/>
          </w:tcPr>
          <w:p>
            <w:pPr/>
            <w:r>
              <w:rPr/>
              <w:t xml:space="preserve">Fiber colors</w:t>
            </w:r>
          </w:p>
        </w:tc>
        <w:tc>
          <w:tcPr>
            <w:tcW w:w="7500" w:type="dxa"/>
          </w:tcPr>
          <w:p>
            <w:pPr/>
            <w:r>
              <w:rPr/>
              <w:t xml:space="preserve">According to TIA/EIA 598-C also in agreement with IEC 60304: 1-12: Blue, orange, green, brown, grey, white, red, black, yellow, violet, pink and aqua</w:t>
            </w:r>
          </w:p>
        </w:tc>
      </w:tr>
      <w:tr>
        <w:trPr/>
        <w:tc>
          <w:tcPr>
            <w:tcW w:w="2500" w:type="dxa"/>
            <w:shd w:val="clear" w:fill="D9D9D9"/>
          </w:tcPr>
          <w:p>
            <w:pPr/>
            <w:r>
              <w:rPr/>
              <w:t xml:space="preserve"> </w:t>
            </w:r>
          </w:p>
        </w:tc>
        <w:tc>
          <w:tcPr>
            <w:tcW w:w="7500" w:type="dxa"/>
          </w:tcPr>
          <w:p>
            <w:pPr/>
            <w:r>
              <w:rPr/>
              <w:t xml:space="preserve">13-24: Blue, orange, green, brown, grey, white, red, transparent, yellow, violet, pink and aqua (with add. ring mark)</w:t>
            </w:r>
          </w:p>
        </w:tc>
      </w:tr>
      <w:tr>
        <w:trPr/>
        <w:tc>
          <w:tcPr>
            <w:tcW w:w="2500" w:type="dxa"/>
            <w:shd w:val="clear" w:fill="D9D9D9"/>
          </w:tcPr>
          <w:p>
            <w:pPr/>
            <w:r>
              <w:rPr/>
              <w:t xml:space="preserve">Strength member</w:t>
            </w:r>
          </w:p>
        </w:tc>
        <w:tc>
          <w:tcPr>
            <w:tcW w:w="7500" w:type="dxa"/>
          </w:tcPr>
          <w:p>
            <w:pPr/>
            <w:r>
              <w:rPr/>
              <w:t xml:space="preserve">Ultra high modulus Aramid yarns</w:t>
            </w:r>
          </w:p>
        </w:tc>
      </w:tr>
      <w:tr>
        <w:trPr/>
        <w:tc>
          <w:tcPr>
            <w:tcW w:w="2500" w:type="dxa"/>
            <w:shd w:val="clear" w:fill="D9D9D9"/>
          </w:tcPr>
          <w:p>
            <w:pPr/>
            <w:r>
              <w:rPr/>
              <w:t xml:space="preserve">Sheath</w:t>
            </w:r>
          </w:p>
        </w:tc>
        <w:tc>
          <w:tcPr>
            <w:tcW w:w="7500" w:type="dxa"/>
          </w:tcPr>
          <w:p>
            <w:pPr/>
            <w:r>
              <w:rPr/>
              <w:t xml:space="preserve">Halogen free, flame resistant thermoplastic sheathing compound acc. to EN 50290-2-27, UV stabilised</w:t>
            </w:r>
          </w:p>
        </w:tc>
      </w:tr>
      <w:tr>
        <w:trPr/>
        <w:tc>
          <w:tcPr>
            <w:tcW w:w="2500" w:type="dxa"/>
            <w:shd w:val="clear" w:fill="D9D9D9"/>
          </w:tcPr>
          <w:p>
            <w:pPr/>
            <w:r>
              <w:rPr/>
              <w:t xml:space="preserve">Sheath colors</w:t>
            </w:r>
          </w:p>
        </w:tc>
        <w:tc>
          <w:tcPr>
            <w:tcW w:w="7500" w:type="dxa"/>
          </w:tcPr>
          <w:p>
            <w:pPr/>
            <w:r>
              <w:rPr/>
              <w:t xml:space="preserve">Aqua, RAL 6027</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IEC 60332-1-2</w:t>
            </w:r>
          </w:p>
        </w:tc>
        <w:tc>
          <w:tcPr>
            <w:tcW w:w="7500" w:type="dxa"/>
          </w:tcPr>
          <w:p>
            <w:pPr/>
            <w:r>
              <w:rPr/>
              <w:t xml:space="preserve">Pass</w:t>
            </w:r>
          </w:p>
        </w:tc>
      </w:tr>
      <w:tr>
        <w:trPr/>
        <w:tc>
          <w:tcPr>
            <w:tcW w:w="2500" w:type="dxa"/>
            <w:shd w:val="clear" w:fill="D9D9D9"/>
          </w:tcPr>
          <w:p>
            <w:pPr/>
            <w:r>
              <w:rPr/>
              <w:t xml:space="preserve">IEC 60332-2-2</w:t>
            </w:r>
          </w:p>
        </w:tc>
        <w:tc>
          <w:tcPr>
            <w:tcW w:w="7500" w:type="dxa"/>
          </w:tcPr>
          <w:p>
            <w:pPr/>
            <w:r>
              <w:rPr/>
              <w:t xml:space="preserve">Pass</w:t>
            </w:r>
          </w:p>
        </w:tc>
      </w:tr>
      <w:tr>
        <w:trPr/>
        <w:tc>
          <w:tcPr>
            <w:tcW w:w="2500" w:type="dxa"/>
            <w:shd w:val="clear" w:fill="D9D9D9"/>
          </w:tcPr>
          <w:p>
            <w:pPr/>
            <w:r>
              <w:rPr/>
              <w:t xml:space="preserve">IEC 60754-1</w:t>
            </w:r>
          </w:p>
        </w:tc>
        <w:tc>
          <w:tcPr>
            <w:tcW w:w="7500" w:type="dxa"/>
          </w:tcPr>
          <w:p>
            <w:pPr/>
            <w:r>
              <w:rPr/>
              <w:t xml:space="preserve">No halogens</w:t>
            </w:r>
          </w:p>
        </w:tc>
      </w:tr>
      <w:tr>
        <w:trPr/>
        <w:tc>
          <w:tcPr>
            <w:tcW w:w="2500" w:type="dxa"/>
            <w:shd w:val="clear" w:fill="D9D9D9"/>
          </w:tcPr>
          <w:p>
            <w:pPr/>
            <w:r>
              <w:rPr/>
              <w:t xml:space="preserve">IEC 60754-2</w:t>
            </w:r>
          </w:p>
        </w:tc>
        <w:tc>
          <w:tcPr>
            <w:tcW w:w="7500" w:type="dxa"/>
          </w:tcPr>
          <w:p>
            <w:pPr/>
            <w:r>
              <w:rPr/>
              <w:t xml:space="preserve">No acid matters</w:t>
            </w:r>
          </w:p>
        </w:tc>
      </w:tr>
      <w:tr>
        <w:trPr/>
        <w:tc>
          <w:tcPr>
            <w:tcW w:w="2500" w:type="dxa"/>
            <w:shd w:val="clear" w:fill="D9D9D9"/>
          </w:tcPr>
          <w:p>
            <w:pPr/>
            <w:r>
              <w:rPr/>
              <w:t xml:space="preserve">IEC 61034-2</w:t>
            </w:r>
          </w:p>
        </w:tc>
        <w:tc>
          <w:tcPr>
            <w:tcW w:w="7500" w:type="dxa"/>
          </w:tcPr>
          <w:p>
            <w:pPr/>
            <w:r>
              <w:rPr/>
              <w:t xml:space="preserve">No dense smoke</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200 MJ/km</w:t>
            </w:r>
          </w:p>
        </w:tc>
        <w:tc>
          <w:tcPr>
            <w:tcW w:w="7500" w:type="dxa"/>
          </w:tcPr>
          <w:p>
            <w:pPr/>
            <w:r>
              <w:rPr/>
              <w:t xml:space="preserve">0.5 KWh/m</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Outer diameter cable</w:t>
            </w:r>
          </w:p>
        </w:tc>
        <w:tc>
          <w:tcPr>
            <w:tcW w:w="7500" w:type="dxa"/>
          </w:tcPr>
          <w:p>
            <w:pPr/>
            <w:r>
              <w:rPr/>
              <w:t xml:space="preserve">ø3.6 mm +0.1 mm -0.3 mm</w:t>
            </w:r>
          </w:p>
        </w:tc>
      </w:tr>
      <w:tr>
        <w:trPr/>
        <w:tc>
          <w:tcPr>
            <w:tcW w:w="2500" w:type="dxa"/>
            <w:shd w:val="clear" w:fill="D9D9D9"/>
          </w:tcPr>
          <w:p>
            <w:pPr/>
            <w:r>
              <w:rPr/>
              <w:t xml:space="preserve">Diameter PVC-core tube</w:t>
            </w:r>
          </w:p>
        </w:tc>
        <w:tc>
          <w:tcPr>
            <w:tcW w:w="7500" w:type="dxa"/>
          </w:tcPr>
          <w:p>
            <w:pPr/>
            <w:r>
              <w:rPr/>
              <w:t xml:space="preserve">2.0 ± 0.1 mm</w:t>
            </w:r>
          </w:p>
        </w:tc>
      </w:tr>
      <w:tr>
        <w:trPr/>
        <w:tc>
          <w:tcPr>
            <w:tcW w:w="2500" w:type="dxa"/>
            <w:shd w:val="clear" w:fill="D9D9D9"/>
          </w:tcPr>
          <w:p>
            <w:pPr/>
            <w:r>
              <w:rPr/>
              <w:t xml:space="preserve">Wall thickness PVC-core tube</w:t>
            </w:r>
          </w:p>
        </w:tc>
        <w:tc>
          <w:tcPr>
            <w:tcW w:w="7500" w:type="dxa"/>
          </w:tcPr>
          <w:p>
            <w:pPr/>
            <w:r>
              <w:rPr/>
              <w:t xml:space="preserve">0.35 mm – 0.40 mm</w:t>
            </w:r>
          </w:p>
        </w:tc>
      </w:tr>
      <w:tr>
        <w:trPr/>
        <w:tc>
          <w:tcPr>
            <w:tcW w:w="2500" w:type="dxa"/>
            <w:shd w:val="clear" w:fill="D9D9D9"/>
          </w:tcPr>
          <w:p>
            <w:pPr/>
            <w:r>
              <w:rPr/>
              <w:t xml:space="preserve">Weight</w:t>
            </w:r>
          </w:p>
        </w:tc>
        <w:tc>
          <w:tcPr>
            <w:tcW w:w="7500" w:type="dxa"/>
          </w:tcPr>
          <w:p>
            <w:pPr/>
            <w:r>
              <w:rPr/>
              <w:t xml:space="preserve">11 kg/km</w:t>
            </w:r>
          </w:p>
        </w:tc>
      </w:tr>
      <w:tr>
        <w:trPr/>
        <w:tc>
          <w:tcPr>
            <w:tcW w:w="2500" w:type="dxa"/>
            <w:shd w:val="clear" w:fill="D9D9D9"/>
          </w:tcPr>
          <w:p>
            <w:pPr/>
            <w:r>
              <w:rPr/>
              <w:t xml:space="preserve">Tensile strength (dynamic)</w:t>
            </w:r>
          </w:p>
        </w:tc>
        <w:tc>
          <w:tcPr>
            <w:tcW w:w="7500" w:type="dxa"/>
          </w:tcPr>
          <w:p>
            <w:pPr/>
            <w:r>
              <w:rPr/>
              <w:t xml:space="preserve">220 N</w:t>
            </w:r>
          </w:p>
        </w:tc>
      </w:tr>
      <w:tr>
        <w:trPr/>
        <w:tc>
          <w:tcPr>
            <w:tcW w:w="2500" w:type="dxa"/>
            <w:shd w:val="clear" w:fill="D9D9D9"/>
          </w:tcPr>
          <w:p>
            <w:pPr/>
            <w:r>
              <w:rPr/>
              <w:t xml:space="preserve">Tensile strength (permanent)</w:t>
            </w:r>
          </w:p>
        </w:tc>
        <w:tc>
          <w:tcPr>
            <w:tcW w:w="7500" w:type="dxa"/>
          </w:tcPr>
          <w:p>
            <w:pPr/>
            <w:r>
              <w:rPr/>
              <w:t xml:space="preserve">110 N</w:t>
            </w:r>
          </w:p>
        </w:tc>
      </w:tr>
      <w:tr>
        <w:trPr/>
        <w:tc>
          <w:tcPr>
            <w:tcW w:w="2500" w:type="dxa"/>
            <w:shd w:val="clear" w:fill="D9D9D9"/>
          </w:tcPr>
          <w:p>
            <w:pPr/>
            <w:r>
              <w:rPr/>
              <w:t xml:space="preserve">Compressive strength (crush)</w:t>
            </w:r>
          </w:p>
        </w:tc>
        <w:tc>
          <w:tcPr>
            <w:tcW w:w="7500" w:type="dxa"/>
          </w:tcPr>
          <w:p>
            <w:pPr/>
            <w:r>
              <w:rPr/>
              <w:t xml:space="preserve">400 N</w:t>
            </w:r>
          </w:p>
        </w:tc>
      </w:tr>
      <w:tr>
        <w:trPr/>
        <w:tc>
          <w:tcPr>
            <w:tcW w:w="2500" w:type="dxa"/>
            <w:shd w:val="clear" w:fill="D9D9D9"/>
          </w:tcPr>
          <w:p>
            <w:pPr/>
            <w:r>
              <w:rPr/>
              <w:t xml:space="preserve">Impact</w:t>
            </w:r>
          </w:p>
        </w:tc>
        <w:tc>
          <w:tcPr>
            <w:tcW w:w="7500" w:type="dxa"/>
          </w:tcPr>
          <w:p>
            <w:pPr/>
            <w:r>
              <w:rPr/>
              <w:t xml:space="preserve">4 Nm, R= 12.5 mm</w:t>
            </w:r>
          </w:p>
        </w:tc>
      </w:tr>
      <w:tr>
        <w:trPr/>
        <w:tc>
          <w:tcPr>
            <w:tcW w:w="2500" w:type="dxa"/>
            <w:shd w:val="clear" w:fill="D9D9D9"/>
          </w:tcPr>
          <w:p>
            <w:pPr/>
            <w:r>
              <w:rPr/>
              <w:t xml:space="preserve">Kink</w:t>
            </w:r>
          </w:p>
        </w:tc>
        <w:tc>
          <w:tcPr>
            <w:tcW w:w="7500" w:type="dxa"/>
          </w:tcPr>
          <w:p>
            <w:pPr/>
            <w:r>
              <w:rPr/>
              <w:t xml:space="preserve">No Kink</w:t>
            </w:r>
          </w:p>
        </w:tc>
      </w:tr>
      <w:tr>
        <w:trPr/>
        <w:tc>
          <w:tcPr>
            <w:tcW w:w="2500" w:type="dxa"/>
            <w:shd w:val="clear" w:fill="D9D9D9"/>
          </w:tcPr>
          <w:p>
            <w:pPr/>
            <w:r>
              <w:rPr/>
              <w:t xml:space="preserve">Min. Bending radius</w:t>
            </w:r>
          </w:p>
        </w:tc>
        <w:tc>
          <w:tcPr>
            <w:tcW w:w="7500" w:type="dxa"/>
          </w:tcPr>
          <w:p>
            <w:pPr/>
            <w:r>
              <w:rPr/>
              <w:t xml:space="preserve">R = 20 mm</w:t>
            </w:r>
          </w:p>
        </w:tc>
      </w:tr>
      <w:tr>
        <w:trPr/>
        <w:tc>
          <w:tcPr>
            <w:tcW w:w="2500" w:type="dxa"/>
            <w:shd w:val="clear" w:fill="D9D9D9"/>
          </w:tcPr>
          <w:p>
            <w:pPr/>
            <w:r>
              <w:rPr/>
              <w:t xml:space="preserve">Temperature range</w:t>
            </w:r>
          </w:p>
        </w:tc>
        <w:tc>
          <w:tcPr>
            <w:tcW w:w="7500" w:type="dxa"/>
          </w:tcPr>
          <w:p>
            <w:pPr/>
            <w:r>
              <w:rPr/>
              <w:t xml:space="preserve">Operation and installation: -0°C to 50°C. Storage: -20°C to 50°C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P-M2/MPP50I24G3Bxxx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2024-03-28T13:37:54+00:00</dcterms:created>
  <dcterms:modified xsi:type="dcterms:W3CDTF">2024-03-28T13:37:54+00:00</dcterms:modified>
</cp:coreProperties>
</file>

<file path=docProps/custom.xml><?xml version="1.0" encoding="utf-8"?>
<Properties xmlns="http://schemas.openxmlformats.org/officeDocument/2006/custom-properties" xmlns:vt="http://schemas.openxmlformats.org/officeDocument/2006/docPropsVTypes"/>
</file>