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Teilfrontplatte mit 12x MPO/MTP® Typ A (Key Up/Down) OM3 Aqua für Modulträger 1HE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Teilfrontplatten
</w:t>
      </w:r>
    </w:p>
    <w:p>
      <w:pPr/>
      <w:r>
        <w:rPr/>
        <w:t xml:space="preserve">Die tML®– LWL Teilfrontplatte MPO/MTP®ist für den Einbau im 1HE tML® - Modulträger (für 8 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12 x MPO/MTP® Adapter (aqua)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Standard - LWL Module MPO/MTP®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604-5Hersteller</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TML-M12MP-TK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2025-04-18T19:53:23+00:00</dcterms:created>
  <dcterms:modified xsi:type="dcterms:W3CDTF">2025-04-18T19:53:23+00:00</dcterms:modified>
</cp:coreProperties>
</file>

<file path=docProps/custom.xml><?xml version="1.0" encoding="utf-8"?>
<Properties xmlns="http://schemas.openxmlformats.org/officeDocument/2006/custom-properties" xmlns:vt="http://schemas.openxmlformats.org/officeDocument/2006/docPropsVTypes"/>
</file>