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Finisar - CXP Transceiver, Multimode MPO, 12x10.5 Gb/s, 100m
</w:t>
      </w:r>
    </w:p>
    <w:p>
      <w:pPr/>
      <w:r>
        <w:rPr/>
        <w:t xml:space="preserve">**Finisar - Transceiver
</w:t>
      </w:r>
    </w:p>
    <w:p>
      <w:pPr/>
      <w:r>
        <w:rPr/>
        <w:t xml:space="preserve">Finisar's broad product selection and innovative technology have made Finisar the optical module manufacturer of choice for all major networking equipment vendors worldwide. The products are fully compliant with Ethernet, Fiber Channel, Infiniband, SONET/SDH/OTN and PON standards and operate at data rates up to 100 Gb/s. They are capable of distances ranging from very short reach within a datacenter to campus, access, metro, and long-haul reaches. They feature outstanding performance over extended voltage and temperature ranges, while minimizing jitter, electromagnetic interference (EMI) and power dissipation.
</w:t>
      </w:r>
    </w:p>
    <w:p>
      <w:pPr/>
      <w:r>
        <w:rPr/>
        <w:t xml:space="preserve">**Transceivers
</w:t>
      </w:r>
    </w:p>
    <w:p>
      <w:pPr/>
      <w:r>
        <w:rPr/>
        <w:t xml:space="preserve">Finisar’s FTLD10CE3C CXP transceivers are designed for use in up to 150 Gigabit per second links over multimode fiber. They are compliant with the CXP Specification and IEEE 802.3ba 100GBASE-SR10 and CPPI interfaces. The transceiver is RoHS-6 compliant and lead-free per Directive 2002/95/EC, and Finisar Application Note AN-20383. They support Tx/Rx optical power monitoring functionality.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Key Features</w:t>
            </w:r>
          </w:p>
        </w:tc>
        <w:tc>
          <w:tcPr>
            <w:tcW w:w="7500" w:type="dxa"/>
          </w:tcPr>
          <w:p>
            <w:pPr/>
            <w:r>
              <w:rPr/>
              <w:t xml:space="preserve">12-channel full-duplex transceiver module</w:t>
            </w:r>
          </w:p>
        </w:tc>
      </w:tr>
      <w:tr>
        <w:trPr/>
        <w:tc>
          <w:tcPr>
            <w:tcW w:w="2500" w:type="dxa"/>
            <w:shd w:val="clear" w:fill="D9D9D9"/>
          </w:tcPr>
          <w:p>
            <w:pPr/>
            <w:r>
              <w:rPr/>
              <w:t xml:space="preserve"> </w:t>
            </w:r>
          </w:p>
        </w:tc>
        <w:tc>
          <w:tcPr>
            <w:tcW w:w="7500" w:type="dxa"/>
          </w:tcPr>
          <w:p>
            <w:pPr/>
            <w:r>
              <w:rPr/>
              <w:t xml:space="preserve">Hot-pluggable CXP form factor</w:t>
            </w:r>
          </w:p>
        </w:tc>
      </w:tr>
      <w:tr>
        <w:trPr/>
        <w:tc>
          <w:tcPr>
            <w:tcW w:w="2500" w:type="dxa"/>
            <w:shd w:val="clear" w:fill="D9D9D9"/>
          </w:tcPr>
          <w:p>
            <w:pPr/>
            <w:r>
              <w:rPr/>
              <w:t xml:space="preserve"> </w:t>
            </w:r>
          </w:p>
        </w:tc>
        <w:tc>
          <w:tcPr>
            <w:tcW w:w="7500" w:type="dxa"/>
          </w:tcPr>
          <w:p>
            <w:pPr/>
            <w:r>
              <w:rPr/>
              <w:t xml:space="preserve">Maximum link length of 100m on OM3 Multimode Fiber (MMF)</w:t>
            </w:r>
          </w:p>
        </w:tc>
      </w:tr>
      <w:tr>
        <w:trPr/>
        <w:tc>
          <w:tcPr>
            <w:tcW w:w="2500" w:type="dxa"/>
            <w:shd w:val="clear" w:fill="D9D9D9"/>
          </w:tcPr>
          <w:p>
            <w:pPr/>
            <w:r>
              <w:rPr/>
              <w:t xml:space="preserve"> </w:t>
            </w:r>
          </w:p>
        </w:tc>
        <w:tc>
          <w:tcPr>
            <w:tcW w:w="7500" w:type="dxa"/>
          </w:tcPr>
          <w:p>
            <w:pPr/>
            <w:r>
              <w:rPr/>
              <w:t xml:space="preserve">Multirate capability: 1.06Gb/s to 11.3Gb/s per channel</w:t>
            </w:r>
          </w:p>
        </w:tc>
      </w:tr>
      <w:tr>
        <w:trPr/>
        <w:tc>
          <w:tcPr>
            <w:tcW w:w="2500" w:type="dxa"/>
            <w:shd w:val="clear" w:fill="D9D9D9"/>
          </w:tcPr>
          <w:p>
            <w:pPr/>
            <w:r>
              <w:rPr/>
              <w:t xml:space="preserve"> </w:t>
            </w:r>
          </w:p>
        </w:tc>
        <w:tc>
          <w:tcPr>
            <w:tcW w:w="7500" w:type="dxa"/>
          </w:tcPr>
          <w:p>
            <w:pPr/>
            <w:r>
              <w:rPr/>
              <w:t xml:space="preserve">Unretimed CPPI electrical interface</w:t>
            </w:r>
          </w:p>
        </w:tc>
      </w:tr>
      <w:tr>
        <w:trPr/>
        <w:tc>
          <w:tcPr>
            <w:tcW w:w="2500" w:type="dxa"/>
            <w:shd w:val="clear" w:fill="D9D9D9"/>
          </w:tcPr>
          <w:p>
            <w:pPr/>
            <w:r>
              <w:rPr/>
              <w:t xml:space="preserve"> </w:t>
            </w:r>
          </w:p>
        </w:tc>
        <w:tc>
          <w:tcPr>
            <w:tcW w:w="7500" w:type="dxa"/>
          </w:tcPr>
          <w:p>
            <w:pPr/>
            <w:r>
              <w:rPr/>
              <w:t xml:space="preserve">Requires 3.3V power supply only</w:t>
            </w:r>
          </w:p>
        </w:tc>
      </w:tr>
      <w:tr>
        <w:trPr/>
        <w:tc>
          <w:tcPr>
            <w:tcW w:w="2500" w:type="dxa"/>
            <w:shd w:val="clear" w:fill="D9D9D9"/>
          </w:tcPr>
          <w:p>
            <w:pPr/>
            <w:r>
              <w:rPr/>
              <w:t xml:space="preserve"> </w:t>
            </w:r>
          </w:p>
        </w:tc>
        <w:tc>
          <w:tcPr>
            <w:tcW w:w="7500" w:type="dxa"/>
          </w:tcPr>
          <w:p>
            <w:pPr/>
            <w:r>
              <w:rPr/>
              <w:t xml:space="preserve">Low power dissipation: &lt; 3.5W</w:t>
            </w:r>
          </w:p>
        </w:tc>
      </w:tr>
      <w:tr>
        <w:trPr/>
        <w:tc>
          <w:tcPr>
            <w:tcW w:w="2500" w:type="dxa"/>
            <w:shd w:val="clear" w:fill="D9D9D9"/>
          </w:tcPr>
          <w:p>
            <w:pPr/>
            <w:r>
              <w:rPr/>
              <w:t xml:space="preserve"> </w:t>
            </w:r>
          </w:p>
        </w:tc>
        <w:tc>
          <w:tcPr>
            <w:tcW w:w="7500" w:type="dxa"/>
          </w:tcPr>
          <w:p>
            <w:pPr/>
            <w:r>
              <w:rPr/>
              <w:t xml:space="preserve">Reliable VCSEL array technology</w:t>
            </w:r>
          </w:p>
        </w:tc>
      </w:tr>
      <w:tr>
        <w:trPr/>
        <w:tc>
          <w:tcPr>
            <w:tcW w:w="2500" w:type="dxa"/>
            <w:shd w:val="clear" w:fill="D9D9D9"/>
          </w:tcPr>
          <w:p>
            <w:pPr/>
            <w:r>
              <w:rPr/>
              <w:t xml:space="preserve"> </w:t>
            </w:r>
          </w:p>
        </w:tc>
        <w:tc>
          <w:tcPr>
            <w:tcW w:w="7500" w:type="dxa"/>
          </w:tcPr>
          <w:p>
            <w:pPr/>
            <w:r>
              <w:rPr/>
              <w:t xml:space="preserve">Digital Diagnostics including Tx and Rx optical power monitoring</w:t>
            </w:r>
          </w:p>
        </w:tc>
      </w:tr>
      <w:tr>
        <w:trPr/>
        <w:tc>
          <w:tcPr>
            <w:tcW w:w="2500" w:type="dxa"/>
            <w:shd w:val="clear" w:fill="D9D9D9"/>
          </w:tcPr>
          <w:p>
            <w:pPr/>
            <w:r>
              <w:rPr/>
              <w:t xml:space="preserve"> </w:t>
            </w:r>
          </w:p>
        </w:tc>
        <w:tc>
          <w:tcPr>
            <w:tcW w:w="7500" w:type="dxa"/>
          </w:tcPr>
          <w:p>
            <w:pPr/>
            <w:r>
              <w:rPr/>
              <w:t xml:space="preserve">Commercial operating case temperature range: 0ºC to +70ºC</w:t>
            </w:r>
          </w:p>
        </w:tc>
      </w:tr>
      <w:tr>
        <w:trPr/>
        <w:tc>
          <w:tcPr>
            <w:tcW w:w="2500" w:type="dxa"/>
            <w:shd w:val="clear" w:fill="D9D9D9"/>
          </w:tcPr>
          <w:p>
            <w:pPr/>
            <w:r>
              <w:rPr/>
              <w:t xml:space="preserve"> </w:t>
            </w:r>
          </w:p>
        </w:tc>
        <w:tc>
          <w:tcPr>
            <w:tcW w:w="7500" w:type="dxa"/>
          </w:tcPr>
          <w:p>
            <w:pPr/>
            <w:r>
              <w:rPr/>
              <w:t xml:space="preserve">Single MPO connector receptacle</w:t>
            </w:r>
          </w:p>
        </w:tc>
      </w:tr>
      <w:tr>
        <w:trPr/>
        <w:tc>
          <w:tcPr>
            <w:tcW w:w="2500" w:type="dxa"/>
            <w:shd w:val="clear" w:fill="D9D9D9"/>
          </w:tcPr>
          <w:p>
            <w:pPr/>
            <w:r>
              <w:rPr/>
              <w:t xml:space="preserve"> </w:t>
            </w:r>
          </w:p>
        </w:tc>
        <w:tc>
          <w:tcPr>
            <w:tcW w:w="7500" w:type="dxa"/>
          </w:tcPr>
          <w:p>
            <w:pPr/>
            <w:r>
              <w:rPr/>
              <w:t xml:space="preserve">RoHS-6 Compliant (lead-free)</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Applications</w:t>
            </w:r>
          </w:p>
        </w:tc>
        <w:tc>
          <w:tcPr>
            <w:tcW w:w="7500" w:type="dxa"/>
          </w:tcPr>
          <w:p>
            <w:pPr/>
            <w:r>
              <w:rPr/>
              <w:t xml:space="preserve">100GBASE-SR10 100G Ethernet</w:t>
            </w:r>
          </w:p>
        </w:tc>
      </w:tr>
      <w:tr>
        <w:trPr/>
        <w:tc>
          <w:tcPr>
            <w:tcW w:w="2500" w:type="dxa"/>
            <w:shd w:val="clear" w:fill="D9D9D9"/>
          </w:tcPr>
          <w:p>
            <w:pPr/>
            <w:r>
              <w:rPr/>
              <w:t xml:space="preserve"> </w:t>
            </w:r>
          </w:p>
        </w:tc>
        <w:tc>
          <w:tcPr>
            <w:tcW w:w="7500" w:type="dxa"/>
          </w:tcPr>
          <w:p>
            <w:pPr/>
            <w:r>
              <w:rPr/>
              <w:t xml:space="preserve">OTU4/OTU2e</w:t>
            </w:r>
          </w:p>
        </w:tc>
      </w:tr>
      <w:tr>
        <w:trPr/>
        <w:tc>
          <w:tcPr>
            <w:tcW w:w="2500" w:type="dxa"/>
            <w:shd w:val="clear" w:fill="D9D9D9"/>
          </w:tcPr>
          <w:p>
            <w:pPr/>
            <w:r>
              <w:rPr/>
              <w:t xml:space="preserve"> </w:t>
            </w:r>
          </w:p>
        </w:tc>
        <w:tc>
          <w:tcPr>
            <w:tcW w:w="7500" w:type="dxa"/>
          </w:tcPr>
          <w:p>
            <w:pPr/>
            <w:r>
              <w:rPr/>
              <w:t xml:space="preserve">12x 10G Ethernet (compatible)</w:t>
            </w:r>
          </w:p>
        </w:tc>
      </w:tr>
      <w:tr>
        <w:trPr/>
        <w:tc>
          <w:tcPr>
            <w:tcW w:w="2500" w:type="dxa"/>
            <w:shd w:val="clear" w:fill="D9D9D9"/>
          </w:tcPr>
          <w:p>
            <w:pPr/>
            <w:r>
              <w:rPr/>
              <w:t xml:space="preserve"> </w:t>
            </w:r>
          </w:p>
        </w:tc>
        <w:tc>
          <w:tcPr>
            <w:tcW w:w="7500" w:type="dxa"/>
          </w:tcPr>
          <w:p>
            <w:pPr/>
            <w:r>
              <w:rPr/>
              <w:t xml:space="preserve">PCIe Gen1/2/3</w:t>
            </w:r>
          </w:p>
        </w:tc>
      </w:tr>
      <w:tr>
        <w:trPr/>
        <w:tc>
          <w:tcPr>
            <w:tcW w:w="2500" w:type="dxa"/>
            <w:shd w:val="clear" w:fill="D9D9D9"/>
          </w:tcPr>
          <w:p>
            <w:pPr/>
            <w:r>
              <w:rPr/>
              <w:t xml:space="preserve"> </w:t>
            </w:r>
          </w:p>
        </w:tc>
        <w:tc>
          <w:tcPr>
            <w:tcW w:w="7500" w:type="dxa"/>
          </w:tcPr>
          <w:p>
            <w:pPr/>
            <w:r>
              <w:rPr/>
              <w:t xml:space="preserve">SATA/SAS3</w:t>
            </w:r>
          </w:p>
        </w:tc>
      </w:tr>
      <w:tr>
        <w:trPr/>
        <w:tc>
          <w:tcPr>
            <w:tcW w:w="2500" w:type="dxa"/>
            <w:shd w:val="clear" w:fill="D9D9D9"/>
          </w:tcPr>
          <w:p>
            <w:pPr/>
            <w:r>
              <w:rPr/>
              <w:t xml:space="preserve"> </w:t>
            </w:r>
          </w:p>
        </w:tc>
        <w:tc>
          <w:tcPr>
            <w:tcW w:w="7500" w:type="dxa"/>
          </w:tcPr>
          <w:p>
            <w:pPr/>
            <w:r>
              <w:rPr/>
              <w:t xml:space="preserve">Proprietary protocols</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Weblink</w:t>
            </w:r>
          </w:p>
        </w:tc>
        <w:tc>
          <w:tcPr>
            <w:tcW w:w="7500" w:type="dxa"/>
          </w:tcPr>
          <w:p>
            <w:pPr/>
            <w:r>
              <w:rPr/>
              <w:t xml:space="preserve">https://www.finisar.com/optical-transceivers/ftld10ce3c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FTLD10CE3C</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2024-04-20T01:11:04+00:00</dcterms:created>
  <dcterms:modified xsi:type="dcterms:W3CDTF">2024-04-20T01:11:04+00:00</dcterms:modified>
</cp:coreProperties>
</file>

<file path=docProps/custom.xml><?xml version="1.0" encoding="utf-8"?>
<Properties xmlns="http://schemas.openxmlformats.org/officeDocument/2006/custom-properties" xmlns:vt="http://schemas.openxmlformats.org/officeDocument/2006/docPropsVTypes"/>
</file>