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Singlemode LC, 112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FTLC1183SDNx 100G CFP transceiver modules are designed for use in 100 Gigabit Ethernet interfaces and 4x28G OTN client interfaces over single mode fiber. They are compliant with the CFP, MSA, IEEE 802.3ba 100GBASE-LR4 and OTU4 4I1-9D1F requirements specified in ITU-T Recommendations G.959.1/G.709 and Supplement 39 (G.sup39). Digital diagnostics functions are available via an MDIO interface, as specified by the CFP MSA and Finisar Application Note AN-2080.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112Gb/s aggregate bit rate</w:t>
            </w:r>
          </w:p>
        </w:tc>
      </w:tr>
      <w:tr>
        <w:trPr/>
        <w:tc>
          <w:tcPr>
            <w:tcW w:w="2500" w:type="dxa"/>
            <w:shd w:val="clear" w:fill="D9D9D9"/>
          </w:tcPr>
          <w:p>
            <w:pPr/>
            <w:r>
              <w:rPr/>
              <w:t xml:space="preserve"> </w:t>
            </w:r>
          </w:p>
        </w:tc>
        <w:tc>
          <w:tcPr>
            <w:tcW w:w="7500" w:type="dxa"/>
          </w:tcPr>
          <w:p>
            <w:pPr/>
            <w:r>
              <w:rPr/>
              <w:t xml:space="preserve">Power dissipation &lt; 16W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4x28Gb/s DFB-based LAN-WDM transmitter</w:t>
            </w:r>
          </w:p>
        </w:tc>
      </w:tr>
      <w:tr>
        <w:trPr/>
        <w:tc>
          <w:tcPr>
            <w:tcW w:w="2500" w:type="dxa"/>
            <w:shd w:val="clear" w:fill="D9D9D9"/>
          </w:tcPr>
          <w:p>
            <w:pPr/>
            <w:r>
              <w:rPr/>
              <w:t xml:space="preserve"> </w:t>
            </w:r>
          </w:p>
        </w:tc>
        <w:tc>
          <w:tcPr>
            <w:tcW w:w="7500" w:type="dxa"/>
          </w:tcPr>
          <w:p>
            <w:pPr/>
            <w:r>
              <w:rPr/>
              <w:t xml:space="preserve">10x10G MLD electrical interface</w:t>
            </w:r>
          </w:p>
        </w:tc>
      </w:tr>
      <w:tr>
        <w:trPr/>
        <w:tc>
          <w:tcPr>
            <w:tcW w:w="2500" w:type="dxa"/>
            <w:shd w:val="clear" w:fill="D9D9D9"/>
          </w:tcPr>
          <w:p>
            <w:pPr/>
            <w:r>
              <w:rPr/>
              <w:t xml:space="preserve"> </w:t>
            </w:r>
          </w:p>
        </w:tc>
        <w:tc>
          <w:tcPr>
            <w:tcW w:w="7500" w:type="dxa"/>
          </w:tcPr>
          <w:p>
            <w:pPr/>
            <w:r>
              <w:rPr/>
              <w:t xml:space="preserve">Duplex LC receptacles</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OTN OTU4 4I1-9D1F</w:t>
            </w:r>
          </w:p>
        </w:tc>
      </w:tr>
      <w:tr>
        <w:trPr/>
        <w:tc>
          <w:tcPr>
            <w:tcW w:w="2500" w:type="dxa"/>
            <w:shd w:val="clear" w:fill="D9D9D9"/>
          </w:tcPr>
          <w:p>
            <w:pPr/>
            <w:r>
              <w:rPr/>
              <w:t xml:space="preserve"> </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https://optical.communications.ii-vi.com/optical-transceivers/ftlc1183sdnx</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FTLC1183SDNL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2024-04-25T08:50:42+00:00</dcterms:created>
  <dcterms:modified xsi:type="dcterms:W3CDTF">2024-04-25T08:50:42+00:00</dcterms:modified>
</cp:coreProperties>
</file>

<file path=docProps/custom.xml><?xml version="1.0" encoding="utf-8"?>
<Properties xmlns="http://schemas.openxmlformats.org/officeDocument/2006/custom-properties" xmlns:vt="http://schemas.openxmlformats.org/officeDocument/2006/docPropsVTypes"/>
</file>