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CFP 100G Transceiver, Multimode MPO, 103.1 Gb/s, 100m/150m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FTLC8281RCNM 100G CFP transceiver modules are designed for use in 100 Gigabit Ethernet links over multimode fiber. They are compliant with the CFP MSA as defined in this document and with IEEE 802.3ba 100GBASE-SR10. Digital diagnostics functions are available via an MDIO interface, as specified by the CFP MSA and Finisar Application Note AN-2160. The transceiver is RoHS-6 compliant and lead-free per Directive 2002/95/EC,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Hot-pluggable CFP form factor</w:t>
            </w:r>
          </w:p>
        </w:tc>
      </w:tr>
      <w:tr>
        <w:trPr/>
        <w:tc>
          <w:tcPr>
            <w:tcW w:w="2500" w:type="dxa"/>
            <w:shd w:val="clear" w:fill="D9D9D9"/>
          </w:tcPr>
          <w:p>
            <w:pPr/>
            <w:r>
              <w:rPr/>
              <w:t xml:space="preserve"> </w:t>
            </w:r>
          </w:p>
        </w:tc>
        <w:tc>
          <w:tcPr>
            <w:tcW w:w="7500" w:type="dxa"/>
          </w:tcPr>
          <w:p>
            <w:pPr/>
            <w:r>
              <w:rPr/>
              <w:t xml:space="preserve">Supports 103.1Gb/s aggregate bit rate</w:t>
            </w:r>
          </w:p>
        </w:tc>
      </w:tr>
      <w:tr>
        <w:trPr/>
        <w:tc>
          <w:tcPr>
            <w:tcW w:w="2500" w:type="dxa"/>
            <w:shd w:val="clear" w:fill="D9D9D9"/>
          </w:tcPr>
          <w:p>
            <w:pPr/>
            <w:r>
              <w:rPr/>
              <w:t xml:space="preserve"> </w:t>
            </w:r>
          </w:p>
        </w:tc>
        <w:tc>
          <w:tcPr>
            <w:tcW w:w="7500" w:type="dxa"/>
          </w:tcPr>
          <w:p>
            <w:pPr/>
            <w:r>
              <w:rPr/>
              <w:t xml:space="preserve">Power dissipation &lt; 12W</w:t>
            </w:r>
          </w:p>
        </w:tc>
      </w:tr>
      <w:tr>
        <w:trPr/>
        <w:tc>
          <w:tcPr>
            <w:tcW w:w="2500" w:type="dxa"/>
            <w:shd w:val="clear" w:fill="D9D9D9"/>
          </w:tcPr>
          <w:p>
            <w:pPr/>
            <w:r>
              <w:rPr/>
              <w:t xml:space="preserve"> </w:t>
            </w:r>
          </w:p>
        </w:tc>
        <w:tc>
          <w:tcPr>
            <w:tcW w:w="7500" w:type="dxa"/>
          </w:tcPr>
          <w:p>
            <w:pPr/>
            <w:r>
              <w:rPr/>
              <w:t xml:space="preserve">RoHS-6 compliant (lead-free)</w:t>
            </w:r>
          </w:p>
        </w:tc>
      </w:tr>
      <w:tr>
        <w:trPr/>
        <w:tc>
          <w:tcPr>
            <w:tcW w:w="2500" w:type="dxa"/>
            <w:shd w:val="clear" w:fill="D9D9D9"/>
          </w:tcPr>
          <w:p>
            <w:pPr/>
            <w:r>
              <w:rPr/>
              <w:t xml:space="preserve"> </w:t>
            </w:r>
          </w:p>
        </w:tc>
        <w:tc>
          <w:tcPr>
            <w:tcW w:w="7500" w:type="dxa"/>
          </w:tcPr>
          <w:p>
            <w:pPr/>
            <w:r>
              <w:rPr/>
              <w:t xml:space="preserve">Commercial case temperature range of 0°C to +70°C</w:t>
            </w:r>
          </w:p>
        </w:tc>
      </w:tr>
      <w:tr>
        <w:trPr/>
        <w:tc>
          <w:tcPr>
            <w:tcW w:w="2500" w:type="dxa"/>
            <w:shd w:val="clear" w:fill="D9D9D9"/>
          </w:tcPr>
          <w:p>
            <w:pPr/>
            <w:r>
              <w:rPr/>
              <w:t xml:space="preserve"> </w:t>
            </w:r>
          </w:p>
        </w:tc>
        <w:tc>
          <w:tcPr>
            <w:tcW w:w="7500" w:type="dxa"/>
          </w:tcPr>
          <w:p>
            <w:pPr/>
            <w:r>
              <w:rPr/>
              <w:t xml:space="preserve">Single 3.3V power supply</w:t>
            </w:r>
          </w:p>
        </w:tc>
      </w:tr>
      <w:tr>
        <w:trPr/>
        <w:tc>
          <w:tcPr>
            <w:tcW w:w="2500" w:type="dxa"/>
            <w:shd w:val="clear" w:fill="D9D9D9"/>
          </w:tcPr>
          <w:p>
            <w:pPr/>
            <w:r>
              <w:rPr/>
              <w:t xml:space="preserve"> </w:t>
            </w:r>
          </w:p>
        </w:tc>
        <w:tc>
          <w:tcPr>
            <w:tcW w:w="7500" w:type="dxa"/>
          </w:tcPr>
          <w:p>
            <w:pPr/>
            <w:r>
              <w:rPr/>
              <w:t xml:space="preserve">Maximum link length of 100m on OM3 Multimode Fiber (MMF) and 150m on OM4 MMF</w:t>
            </w:r>
          </w:p>
        </w:tc>
      </w:tr>
      <w:tr>
        <w:trPr/>
        <w:tc>
          <w:tcPr>
            <w:tcW w:w="2500" w:type="dxa"/>
            <w:shd w:val="clear" w:fill="D9D9D9"/>
          </w:tcPr>
          <w:p>
            <w:pPr/>
            <w:r>
              <w:rPr/>
              <w:t xml:space="preserve"> </w:t>
            </w:r>
          </w:p>
        </w:tc>
        <w:tc>
          <w:tcPr>
            <w:tcW w:w="7500" w:type="dxa"/>
          </w:tcPr>
          <w:p>
            <w:pPr/>
            <w:r>
              <w:rPr/>
              <w:t xml:space="preserve">Uncooled 10x10Gb/s 850nm transmitter</w:t>
            </w:r>
          </w:p>
        </w:tc>
      </w:tr>
      <w:tr>
        <w:trPr/>
        <w:tc>
          <w:tcPr>
            <w:tcW w:w="2500" w:type="dxa"/>
            <w:shd w:val="clear" w:fill="D9D9D9"/>
          </w:tcPr>
          <w:p>
            <w:pPr/>
            <w:r>
              <w:rPr/>
              <w:t xml:space="preserve"> </w:t>
            </w:r>
          </w:p>
        </w:tc>
        <w:tc>
          <w:tcPr>
            <w:tcW w:w="7500" w:type="dxa"/>
          </w:tcPr>
          <w:p>
            <w:pPr/>
            <w:r>
              <w:rPr/>
              <w:t xml:space="preserve">CAUI electrical interface</w:t>
            </w:r>
          </w:p>
        </w:tc>
      </w:tr>
      <w:tr>
        <w:trPr/>
        <w:tc>
          <w:tcPr>
            <w:tcW w:w="2500" w:type="dxa"/>
            <w:shd w:val="clear" w:fill="D9D9D9"/>
          </w:tcPr>
          <w:p>
            <w:pPr/>
            <w:r>
              <w:rPr/>
              <w:t xml:space="preserve"> </w:t>
            </w:r>
          </w:p>
        </w:tc>
        <w:tc>
          <w:tcPr>
            <w:tcW w:w="7500" w:type="dxa"/>
          </w:tcPr>
          <w:p>
            <w:pPr/>
            <w:r>
              <w:rPr/>
              <w:t xml:space="preserve">Single MPO24 receptacle</w:t>
            </w:r>
          </w:p>
        </w:tc>
      </w:tr>
      <w:tr>
        <w:trPr/>
        <w:tc>
          <w:tcPr>
            <w:tcW w:w="2500" w:type="dxa"/>
            <w:shd w:val="clear" w:fill="D9D9D9"/>
          </w:tcPr>
          <w:p>
            <w:pPr/>
            <w:r>
              <w:rPr/>
              <w:t xml:space="preserve"> </w:t>
            </w:r>
          </w:p>
        </w:tc>
        <w:tc>
          <w:tcPr>
            <w:tcW w:w="7500" w:type="dxa"/>
          </w:tcPr>
          <w:p>
            <w:pPr/>
            <w:r>
              <w:rPr/>
              <w:t xml:space="preserve">MDIO management interface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100GBASE-SR10 100G Ethernet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http://www.finisar.com/products/optical-transceivers/cfp/FTLC8281RCNM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FTLC8281RCNM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2024-04-17T20:15:12+00:00</dcterms:created>
  <dcterms:modified xsi:type="dcterms:W3CDTF">2024-04-17T20:15:12+00:00</dcterms:modified>
</cp:coreProperties>
</file>

<file path=docProps/custom.xml><?xml version="1.0" encoding="utf-8"?>
<Properties xmlns="http://schemas.openxmlformats.org/officeDocument/2006/custom-properties" xmlns:vt="http://schemas.openxmlformats.org/officeDocument/2006/docPropsVTypes"/>
</file>