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EOL - Finisar - QSFP 40G Transceiver, Multimode MPO, 12x10.5 Gb/s, 100m/150m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FTL410QE3C QSFP+ transceivers are designed for use in 40 Gigabit per second links over multimode fiber. They are compliant with the QSFP+ MSA and IEEE 802.3ba 40GBASE-SR4 and breakout to 4 10GBASE-SR. Digital diagnostics functions are available via an I2C interface, including Tx and Rx power monitoring. The transceiver is RoHS-6 compliant and lead-free per Directive 2011/65/EU,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Four-channel full-duplex transceiver module</w:t>
            </w:r>
          </w:p>
        </w:tc>
      </w:tr>
      <w:tr>
        <w:trPr/>
        <w:tc>
          <w:tcPr>
            <w:tcW w:w="2500" w:type="dxa"/>
            <w:shd w:val="clear" w:fill="D9D9D9"/>
          </w:tcPr>
          <w:p>
            <w:pPr/>
            <w:r>
              <w:rPr/>
              <w:t xml:space="preserve"> </w:t>
            </w:r>
          </w:p>
        </w:tc>
        <w:tc>
          <w:tcPr>
            <w:tcW w:w="7500" w:type="dxa"/>
          </w:tcPr>
          <w:p>
            <w:pPr/>
            <w:r>
              <w:rPr/>
              <w:t xml:space="preserve">Hot Pluggable QSFP+ form factor</w:t>
            </w:r>
          </w:p>
        </w:tc>
      </w:tr>
      <w:tr>
        <w:trPr/>
        <w:tc>
          <w:tcPr>
            <w:tcW w:w="2500" w:type="dxa"/>
            <w:shd w:val="clear" w:fill="D9D9D9"/>
          </w:tcPr>
          <w:p>
            <w:pPr/>
            <w:r>
              <w:rPr/>
              <w:t xml:space="preserve"> </w:t>
            </w:r>
          </w:p>
        </w:tc>
        <w:tc>
          <w:tcPr>
            <w:tcW w:w="7500" w:type="dxa"/>
          </w:tcPr>
          <w:p>
            <w:pPr/>
            <w:r>
              <w:rPr/>
              <w:t xml:space="preserve">Maximum link length of 100m on OM3 Multimode Fiber (MMF) and 150m on OM4 MMF</w:t>
            </w:r>
          </w:p>
        </w:tc>
      </w:tr>
      <w:tr>
        <w:trPr/>
        <w:tc>
          <w:tcPr>
            <w:tcW w:w="2500" w:type="dxa"/>
            <w:shd w:val="clear" w:fill="D9D9D9"/>
          </w:tcPr>
          <w:p>
            <w:pPr/>
            <w:r>
              <w:rPr/>
              <w:t xml:space="preserve"> </w:t>
            </w:r>
          </w:p>
        </w:tc>
        <w:tc>
          <w:tcPr>
            <w:tcW w:w="7500" w:type="dxa"/>
          </w:tcPr>
          <w:p>
            <w:pPr/>
            <w:r>
              <w:rPr/>
              <w:t xml:space="preserve">Multirate capability: 1.06Gb/s to 10.5Gb/s per channel</w:t>
            </w:r>
          </w:p>
        </w:tc>
      </w:tr>
      <w:tr>
        <w:trPr/>
        <w:tc>
          <w:tcPr>
            <w:tcW w:w="2500" w:type="dxa"/>
            <w:shd w:val="clear" w:fill="D9D9D9"/>
          </w:tcPr>
          <w:p>
            <w:pPr/>
            <w:r>
              <w:rPr/>
              <w:t xml:space="preserve"> </w:t>
            </w:r>
          </w:p>
        </w:tc>
        <w:tc>
          <w:tcPr>
            <w:tcW w:w="7500" w:type="dxa"/>
          </w:tcPr>
          <w:p>
            <w:pPr/>
            <w:r>
              <w:rPr/>
              <w:t xml:space="preserve">Unretimed XLPPI electrical interface</w:t>
            </w:r>
          </w:p>
        </w:tc>
      </w:tr>
      <w:tr>
        <w:trPr/>
        <w:tc>
          <w:tcPr>
            <w:tcW w:w="2500" w:type="dxa"/>
            <w:shd w:val="clear" w:fill="D9D9D9"/>
          </w:tcPr>
          <w:p>
            <w:pPr/>
            <w:r>
              <w:rPr/>
              <w:t xml:space="preserve"> </w:t>
            </w:r>
          </w:p>
        </w:tc>
        <w:tc>
          <w:tcPr>
            <w:tcW w:w="7500" w:type="dxa"/>
          </w:tcPr>
          <w:p>
            <w:pPr/>
            <w:r>
              <w:rPr/>
              <w:t xml:space="preserve">Max power dissipation &lt; 1.2W</w:t>
            </w:r>
          </w:p>
        </w:tc>
      </w:tr>
      <w:tr>
        <w:trPr/>
        <w:tc>
          <w:tcPr>
            <w:tcW w:w="2500" w:type="dxa"/>
            <w:shd w:val="clear" w:fill="D9D9D9"/>
          </w:tcPr>
          <w:p>
            <w:pPr/>
            <w:r>
              <w:rPr/>
              <w:t xml:space="preserve"> </w:t>
            </w:r>
          </w:p>
        </w:tc>
        <w:tc>
          <w:tcPr>
            <w:tcW w:w="7500" w:type="dxa"/>
          </w:tcPr>
          <w:p>
            <w:pPr/>
            <w:r>
              <w:rPr/>
              <w:t xml:space="preserve">Reliable VCSEL array technology</w:t>
            </w:r>
          </w:p>
        </w:tc>
      </w:tr>
      <w:tr>
        <w:trPr/>
        <w:tc>
          <w:tcPr>
            <w:tcW w:w="2500" w:type="dxa"/>
            <w:shd w:val="clear" w:fill="D9D9D9"/>
          </w:tcPr>
          <w:p>
            <w:pPr/>
            <w:r>
              <w:rPr/>
              <w:t xml:space="preserve"> </w:t>
            </w:r>
          </w:p>
        </w:tc>
        <w:tc>
          <w:tcPr>
            <w:tcW w:w="7500" w:type="dxa"/>
          </w:tcPr>
          <w:p>
            <w:pPr/>
            <w:r>
              <w:rPr/>
              <w:t xml:space="preserve">Built-in digital diagnostic functions, including optical power monitoring</w:t>
            </w:r>
          </w:p>
        </w:tc>
      </w:tr>
      <w:tr>
        <w:trPr/>
        <w:tc>
          <w:tcPr>
            <w:tcW w:w="2500" w:type="dxa"/>
            <w:shd w:val="clear" w:fill="D9D9D9"/>
          </w:tcPr>
          <w:p>
            <w:pPr/>
            <w:r>
              <w:rPr/>
              <w:t xml:space="preserve"> </w:t>
            </w:r>
          </w:p>
        </w:tc>
        <w:tc>
          <w:tcPr>
            <w:tcW w:w="7500" w:type="dxa"/>
          </w:tcPr>
          <w:p>
            <w:pPr/>
            <w:r>
              <w:rPr/>
              <w:t xml:space="preserve">Commercial operating case temperature range: 0ºC to +70ºC</w:t>
            </w:r>
          </w:p>
        </w:tc>
      </w:tr>
      <w:tr>
        <w:trPr/>
        <w:tc>
          <w:tcPr>
            <w:tcW w:w="2500" w:type="dxa"/>
            <w:shd w:val="clear" w:fill="D9D9D9"/>
          </w:tcPr>
          <w:p>
            <w:pPr/>
            <w:r>
              <w:rPr/>
              <w:t xml:space="preserve"> </w:t>
            </w:r>
          </w:p>
        </w:tc>
        <w:tc>
          <w:tcPr>
            <w:tcW w:w="7500" w:type="dxa"/>
          </w:tcPr>
          <w:p>
            <w:pPr/>
            <w:r>
              <w:rPr/>
              <w:t xml:space="preserve">Single 1x12 MPO receptacle</w:t>
            </w:r>
          </w:p>
        </w:tc>
      </w:tr>
      <w:tr>
        <w:trPr/>
        <w:tc>
          <w:tcPr>
            <w:tcW w:w="2500" w:type="dxa"/>
            <w:shd w:val="clear" w:fill="D9D9D9"/>
          </w:tcPr>
          <w:p>
            <w:pPr/>
            <w:r>
              <w:rPr/>
              <w:t xml:space="preserve"> </w:t>
            </w:r>
          </w:p>
        </w:tc>
        <w:tc>
          <w:tcPr>
            <w:tcW w:w="7500" w:type="dxa"/>
          </w:tcPr>
          <w:p>
            <w:pPr/>
            <w:r>
              <w:rPr/>
              <w:t xml:space="preserve">RoHS-6 Compliant (lead-free)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40GBASE-SR4 40G Ethernet</w:t>
            </w:r>
          </w:p>
        </w:tc>
      </w:tr>
      <w:tr>
        <w:trPr/>
        <w:tc>
          <w:tcPr>
            <w:tcW w:w="2500" w:type="dxa"/>
            <w:shd w:val="clear" w:fill="D9D9D9"/>
          </w:tcPr>
          <w:p>
            <w:pPr/>
            <w:r>
              <w:rPr/>
              <w:t xml:space="preserve"> </w:t>
            </w:r>
          </w:p>
        </w:tc>
        <w:tc>
          <w:tcPr>
            <w:tcW w:w="7500" w:type="dxa"/>
          </w:tcPr>
          <w:p>
            <w:pPr/>
            <w:r>
              <w:rPr/>
              <w:t xml:space="preserve">Breakout to 4 x 10GBASE-SR Ethernet</w:t>
            </w:r>
          </w:p>
        </w:tc>
      </w:tr>
      <w:tr>
        <w:trPr/>
        <w:tc>
          <w:tcPr>
            <w:tcW w:w="2500" w:type="dxa"/>
            <w:shd w:val="clear" w:fill="D9D9D9"/>
          </w:tcPr>
          <w:p>
            <w:pPr/>
            <w:r>
              <w:rPr/>
              <w:t xml:space="preserve"> </w:t>
            </w:r>
          </w:p>
        </w:tc>
        <w:tc>
          <w:tcPr>
            <w:tcW w:w="7500" w:type="dxa"/>
          </w:tcPr>
          <w:p>
            <w:pPr/>
            <w:r>
              <w:rPr/>
              <w:t xml:space="preserve">Proprietary interconnections</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On request also available for</w:t>
            </w:r>
          </w:p>
        </w:tc>
        <w:tc>
          <w:tcPr>
            <w:tcW w:w="7500" w:type="dxa"/>
          </w:tcPr>
          <w:p>
            <w:pPr/>
            <w:r>
              <w:rPr/>
              <w:t xml:space="preserve">Juniper QFX - QFX-QSFP-40G-SR4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https://www.finisar.com/optical-transceivers/ftl410qe3c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FTL410QE3C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2024-04-25T20:06:12+00:00</dcterms:created>
  <dcterms:modified xsi:type="dcterms:W3CDTF">2024-04-25T20:06:12+00:00</dcterms:modified>
</cp:coreProperties>
</file>

<file path=docProps/custom.xml><?xml version="1.0" encoding="utf-8"?>
<Properties xmlns="http://schemas.openxmlformats.org/officeDocument/2006/custom-properties" xmlns:vt="http://schemas.openxmlformats.org/officeDocument/2006/docPropsVTypes"/>
</file>