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SFP+ 16G Transceiver, Multimode LC, 14.025 Gb/s, 35m/100m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FTLF8529P4BCV SFP+ transceivers are designed for use in Fibre Channel links up to 14.025 Gb/s data rate over multimode fiber. They are compliant with FC-PI-5 Rev. 6.00, SFF-8472 Rev 11.0 and SFF-8081, and compatible with SFF-8432 and applicable portions of SFF-8431 Rev. 4.1. The product is RoHS compliant and lead-free per Directive 2011/65/EU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Up to 14.025 Gb/s bi-directional data links</w:t>
            </w:r>
          </w:p>
        </w:tc>
      </w:tr>
      <w:tr>
        <w:trPr/>
        <w:tc>
          <w:tcPr>
            <w:tcW w:w="2500" w:type="dxa"/>
            <w:shd w:val="clear" w:fill="D9D9D9"/>
          </w:tcPr>
          <w:p>
            <w:pPr/>
            <w:r>
              <w:rPr/>
              <w:t xml:space="preserve"> </w:t>
            </w:r>
          </w:p>
        </w:tc>
        <w:tc>
          <w:tcPr>
            <w:tcW w:w="7500" w:type="dxa"/>
          </w:tcPr>
          <w:p>
            <w:pPr/>
            <w:r>
              <w:rPr/>
              <w:t xml:space="preserve">Hot-pluggable SFP+ footprint</w:t>
            </w:r>
          </w:p>
        </w:tc>
      </w:tr>
      <w:tr>
        <w:trPr/>
        <w:tc>
          <w:tcPr>
            <w:tcW w:w="2500" w:type="dxa"/>
            <w:shd w:val="clear" w:fill="D9D9D9"/>
          </w:tcPr>
          <w:p>
            <w:pPr/>
            <w:r>
              <w:rPr/>
              <w:t xml:space="preserve"> </w:t>
            </w:r>
          </w:p>
        </w:tc>
        <w:tc>
          <w:tcPr>
            <w:tcW w:w="7500" w:type="dxa"/>
          </w:tcPr>
          <w:p>
            <w:pPr/>
            <w:r>
              <w:rPr/>
              <w:t xml:space="preserve">Built-in digital diagnostic functions</w:t>
            </w:r>
          </w:p>
        </w:tc>
      </w:tr>
      <w:tr>
        <w:trPr/>
        <w:tc>
          <w:tcPr>
            <w:tcW w:w="2500" w:type="dxa"/>
            <w:shd w:val="clear" w:fill="D9D9D9"/>
          </w:tcPr>
          <w:p>
            <w:pPr/>
            <w:r>
              <w:rPr/>
              <w:t xml:space="preserve"> </w:t>
            </w:r>
          </w:p>
        </w:tc>
        <w:tc>
          <w:tcPr>
            <w:tcW w:w="7500" w:type="dxa"/>
          </w:tcPr>
          <w:p>
            <w:pPr/>
            <w:r>
              <w:rPr/>
              <w:t xml:space="preserve">Built-in CDR with shut off control</w:t>
            </w:r>
          </w:p>
        </w:tc>
      </w:tr>
      <w:tr>
        <w:trPr/>
        <w:tc>
          <w:tcPr>
            <w:tcW w:w="2500" w:type="dxa"/>
            <w:shd w:val="clear" w:fill="D9D9D9"/>
          </w:tcPr>
          <w:p>
            <w:pPr/>
            <w:r>
              <w:rPr/>
              <w:t xml:space="preserve"> </w:t>
            </w:r>
          </w:p>
        </w:tc>
        <w:tc>
          <w:tcPr>
            <w:tcW w:w="7500" w:type="dxa"/>
          </w:tcPr>
          <w:p>
            <w:pPr/>
            <w:r>
              <w:rPr/>
              <w:t xml:space="preserve">850 nm Oxide VCSEL laser transmitter</w:t>
            </w:r>
          </w:p>
        </w:tc>
      </w:tr>
      <w:tr>
        <w:trPr/>
        <w:tc>
          <w:tcPr>
            <w:tcW w:w="2500" w:type="dxa"/>
            <w:shd w:val="clear" w:fill="D9D9D9"/>
          </w:tcPr>
          <w:p>
            <w:pPr/>
            <w:r>
              <w:rPr/>
              <w:t xml:space="preserve"> </w:t>
            </w:r>
          </w:p>
        </w:tc>
        <w:tc>
          <w:tcPr>
            <w:tcW w:w="7500" w:type="dxa"/>
          </w:tcPr>
          <w:p>
            <w:pPr/>
            <w:r>
              <w:rPr/>
              <w:t xml:space="preserve">Duplex LC connector</w:t>
            </w:r>
          </w:p>
        </w:tc>
      </w:tr>
      <w:tr>
        <w:trPr/>
        <w:tc>
          <w:tcPr>
            <w:tcW w:w="2500" w:type="dxa"/>
            <w:shd w:val="clear" w:fill="D9D9D9"/>
          </w:tcPr>
          <w:p>
            <w:pPr/>
            <w:r>
              <w:rPr/>
              <w:t xml:space="preserve"> </w:t>
            </w:r>
          </w:p>
        </w:tc>
        <w:tc>
          <w:tcPr>
            <w:tcW w:w="7500" w:type="dxa"/>
          </w:tcPr>
          <w:p>
            <w:pPr/>
            <w:r>
              <w:rPr/>
              <w:t xml:space="preserve">RoHS compliant and Lead-Free</w:t>
            </w:r>
          </w:p>
        </w:tc>
      </w:tr>
      <w:tr>
        <w:trPr/>
        <w:tc>
          <w:tcPr>
            <w:tcW w:w="2500" w:type="dxa"/>
            <w:shd w:val="clear" w:fill="D9D9D9"/>
          </w:tcPr>
          <w:p>
            <w:pPr/>
            <w:r>
              <w:rPr/>
              <w:t xml:space="preserve"> </w:t>
            </w:r>
          </w:p>
        </w:tc>
        <w:tc>
          <w:tcPr>
            <w:tcW w:w="7500" w:type="dxa"/>
          </w:tcPr>
          <w:p>
            <w:pPr/>
            <w:r>
              <w:rPr/>
              <w:t xml:space="preserve">35m on 50/125μm MMF</w:t>
            </w:r>
          </w:p>
        </w:tc>
      </w:tr>
      <w:tr>
        <w:trPr/>
        <w:tc>
          <w:tcPr>
            <w:tcW w:w="2500" w:type="dxa"/>
            <w:shd w:val="clear" w:fill="D9D9D9"/>
          </w:tcPr>
          <w:p>
            <w:pPr/>
            <w:r>
              <w:rPr/>
              <w:t xml:space="preserve"> </w:t>
            </w:r>
          </w:p>
        </w:tc>
        <w:tc>
          <w:tcPr>
            <w:tcW w:w="7500" w:type="dxa"/>
          </w:tcPr>
          <w:p>
            <w:pPr/>
            <w:r>
              <w:rPr/>
              <w:t xml:space="preserve">100m on high-bandwidth 50/125um (OM3) MMF</w:t>
            </w:r>
          </w:p>
        </w:tc>
      </w:tr>
      <w:tr>
        <w:trPr/>
        <w:tc>
          <w:tcPr>
            <w:tcW w:w="2500" w:type="dxa"/>
            <w:shd w:val="clear" w:fill="D9D9D9"/>
          </w:tcPr>
          <w:p>
            <w:pPr/>
            <w:r>
              <w:rPr/>
              <w:t xml:space="preserve"> </w:t>
            </w:r>
          </w:p>
        </w:tc>
        <w:tc>
          <w:tcPr>
            <w:tcW w:w="7500" w:type="dxa"/>
          </w:tcPr>
          <w:p>
            <w:pPr/>
            <w:r>
              <w:rPr/>
              <w:t xml:space="preserve">Metal enclosure, for lower EMI</w:t>
            </w:r>
          </w:p>
        </w:tc>
      </w:tr>
      <w:tr>
        <w:trPr/>
        <w:tc>
          <w:tcPr>
            <w:tcW w:w="2500" w:type="dxa"/>
            <w:shd w:val="clear" w:fill="D9D9D9"/>
          </w:tcPr>
          <w:p>
            <w:pPr/>
            <w:r>
              <w:rPr/>
              <w:t xml:space="preserve"> </w:t>
            </w:r>
          </w:p>
        </w:tc>
        <w:tc>
          <w:tcPr>
            <w:tcW w:w="7500" w:type="dxa"/>
          </w:tcPr>
          <w:p>
            <w:pPr/>
            <w:r>
              <w:rPr/>
              <w:t xml:space="preserve">Single 3.3 V power supply</w:t>
            </w:r>
          </w:p>
        </w:tc>
      </w:tr>
      <w:tr>
        <w:trPr/>
        <w:tc>
          <w:tcPr>
            <w:tcW w:w="2500" w:type="dxa"/>
            <w:shd w:val="clear" w:fill="D9D9D9"/>
          </w:tcPr>
          <w:p>
            <w:pPr/>
            <w:r>
              <w:rPr/>
              <w:t xml:space="preserve"> </w:t>
            </w:r>
          </w:p>
        </w:tc>
        <w:tc>
          <w:tcPr>
            <w:tcW w:w="7500" w:type="dxa"/>
          </w:tcPr>
          <w:p>
            <w:pPr/>
            <w:r>
              <w:rPr/>
              <w:t xml:space="preserve">Extended operating temperature range: 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Tri-Rate 4.25/8.5/14.025 Gb/s Fiber Channel</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On request also available for</w:t>
            </w:r>
          </w:p>
        </w:tc>
        <w:tc>
          <w:tcPr>
            <w:tcW w:w="7500" w:type="dxa"/>
          </w:tcPr>
          <w:p>
            <w:pPr/>
            <w:r>
              <w:rPr/>
              <w:t xml:space="preserve">Brocade - XBR-000192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http://www.finisar.com/products/optical-transceivers/sfp-plus/FTLF8529P3BCV</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FTLF8529P4BCV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2024-04-26T06:59:58+00:00</dcterms:created>
  <dcterms:modified xsi:type="dcterms:W3CDTF">2024-04-26T06:59:58+00:00</dcterms:modified>
</cp:coreProperties>
</file>

<file path=docProps/custom.xml><?xml version="1.0" encoding="utf-8"?>
<Properties xmlns="http://schemas.openxmlformats.org/officeDocument/2006/custom-properties" xmlns:vt="http://schemas.openxmlformats.org/officeDocument/2006/docPropsVTypes"/>
</file>