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E2000 APC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APC Kupplungen 12 E2000 APC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TBG2-M12-xxE2A9AS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 (Norm)</w:t>
            </w:r>
          </w:p>
        </w:tc>
        <w:tc>
          <w:tcPr>
            <w:tcW w:w="7500" w:type="dxa"/>
          </w:tcPr>
          <w:p>
            <w:pPr/>
            <w:r>
              <w:rPr/>
              <w:t xml:space="preserve">UL Listed</w:t>
            </w:r>
          </w:p>
        </w:tc>
      </w:tr>
      <w:tr>
        <w:trPr/>
        <w:tc>
          <w:tcPr>
            <w:tcW w:w="2500" w:type="dxa"/>
            <w:shd w:val="clear" w:fill="D9D9D9"/>
          </w:tcPr>
          <w:p>
            <w:pPr/>
            <w:r>
              <w:rPr/>
              <w:t xml:space="preserve"> </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IP 20</w:t>
            </w:r>
          </w:p>
        </w:tc>
      </w:tr>
      <w:tr>
        <w:trPr/>
        <w:tc>
          <w:tcPr>
            <w:tcW w:w="2500" w:type="dxa"/>
            <w:shd w:val="clear" w:fill="D9D9D9"/>
          </w:tcPr>
          <w:p>
            <w:pPr/>
            <w:r>
              <w:rPr/>
              <w:t xml:space="preserve">Schliff Verbinder (A)</w:t>
            </w:r>
          </w:p>
        </w:tc>
        <w:tc>
          <w:tcPr>
            <w:tcW w:w="7500" w:type="dxa"/>
          </w:tcPr>
          <w:p>
            <w:pPr/>
            <w:r>
              <w:rPr/>
              <w:t xml:space="preserve">APC 8°</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 gemäß IEC 61300-2-2</w:t>
            </w:r>
          </w:p>
        </w:tc>
      </w:tr>
      <w:tr>
        <w:trPr/>
        <w:tc>
          <w:tcPr>
            <w:tcW w:w="2500" w:type="dxa"/>
            <w:shd w:val="clear" w:fill="D9D9D9"/>
          </w:tcPr>
          <w:p>
            <w:pPr/>
            <w:r>
              <w:rPr/>
              <w:t xml:space="preserve">Auszugskraft</w:t>
            </w:r>
          </w:p>
        </w:tc>
        <w:tc>
          <w:tcPr>
            <w:tcW w:w="7500" w:type="dxa"/>
          </w:tcPr>
          <w:p>
            <w:pPr/>
            <w:r>
              <w:rPr/>
              <w:t xml:space="preserve">min. 70 N gemäß IEC 61300-2-6</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67.7 / 40 x 22 x 9.35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TBG2-M12-12E2A9AS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2024-04-25T06:04:44+00:00</dcterms:created>
  <dcterms:modified xsi:type="dcterms:W3CDTF">2024-04-25T06:04:44+00:00</dcterms:modified>
</cp:coreProperties>
</file>

<file path=docProps/custom.xml><?xml version="1.0" encoding="utf-8"?>
<Properties xmlns="http://schemas.openxmlformats.org/officeDocument/2006/custom-properties" xmlns:vt="http://schemas.openxmlformats.org/officeDocument/2006/docPropsVTypes"/>
</file>