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12x E2000 MM 3U/7HP with pigtails 50/125µ OM3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E2000 adapters 12 E2000 Fiber pigtails 50/125µ OM3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TBG2-M12-xxE2-50-3S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12 x E2000 or SC Simplex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Dimensions</w:t>
            </w:r>
          </w:p>
        </w:tc>
        <w:tc>
          <w:tcPr>
            <w:tcW w:w="7500" w:type="dxa"/>
          </w:tcPr>
          <w:p>
            <w:pPr/>
            <w:r>
              <w:rPr/>
              <w:t xml:space="preserve">Alu- AlMG3 G22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84 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Aqua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2024-04-26T01:27:04+00:00</dcterms:created>
  <dcterms:modified xsi:type="dcterms:W3CDTF">2024-04-26T01:27:04+00:00</dcterms:modified>
</cp:coreProperties>
</file>

<file path=docProps/custom.xml><?xml version="1.0" encoding="utf-8"?>
<Properties xmlns="http://schemas.openxmlformats.org/officeDocument/2006/custom-properties" xmlns:vt="http://schemas.openxmlformats.org/officeDocument/2006/docPropsVTypes"/>
</file>