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Mini 50/125µ, FRNC, OM4,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Magenta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 HD</w:t>
            </w:r>
          </w:p>
        </w:tc>
        <w:tc>
          <w:tcPr/>
          <w:p>
            <w:pPr/>
            <w:r>
              <w:rPr/>
              <w:t xml:space="preserve">850 nm</w:t>
            </w:r>
          </w:p>
        </w:tc>
        <w:tc>
          <w:tcPr/>
          <w:p>
            <w:pPr/>
            <w:r>
              <w:rPr/>
              <w:t xml:space="preserve">&lt;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DVH02G50-OM4-2.0</w:t>
            </w:r>
          </w:p>
        </w:tc>
      </w:t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 OM4</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DVH02G50-OM4-2.0mm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2.0 ± 0.1 mm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Min. Bending radius, unloaded</w:t>
            </w:r>
          </w:p>
        </w:tc>
        <w:tc>
          <w:tcPr>
            <w:tcW w:w="7500" w:type="dxa"/>
          </w:tcPr>
          <w:p>
            <w:pPr/>
            <w:r>
              <w:rPr/>
              <w:t xml:space="preserve">20 mm</w:t>
            </w:r>
          </w:p>
        </w:tc>
      </w:tr>
      <w:tr>
        <w:trPr/>
        <w:tc>
          <w:tcPr>
            <w:tcW w:w="2500" w:type="dxa"/>
            <w:shd w:val="clear" w:fill="D9D9D9"/>
          </w:tcPr>
          <w:p>
            <w:pPr/>
            <w:r>
              <w:rPr/>
              <w:t xml:space="preserve">Min. Bending radius, loaded</w:t>
            </w:r>
          </w:p>
        </w:tc>
        <w:tc>
          <w:tcPr>
            <w:tcW w:w="7500" w:type="dxa"/>
          </w:tcPr>
          <w:p>
            <w:pPr/>
            <w:r>
              <w:rPr/>
              <w:t xml:space="preserve">40 mm</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L-TLC/TLC50D4RMxxxxx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2024-04-25T12:32:11+00:00</dcterms:created>
  <dcterms:modified xsi:type="dcterms:W3CDTF">2024-04-25T12:32:11+00:00</dcterms:modified>
</cp:coreProperties>
</file>

<file path=docProps/custom.xml><?xml version="1.0" encoding="utf-8"?>
<Properties xmlns="http://schemas.openxmlformats.org/officeDocument/2006/custom-properties" xmlns:vt="http://schemas.openxmlformats.org/officeDocument/2006/docPropsVTypes"/>
</file>