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50/125µ, FRNC, OM3,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Türkis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OM3</w:t>
            </w:r>
          </w:p>
        </w:tc>
        <w:tc>
          <w:tcPr/>
          <w:p>
            <w:pPr/>
            <w:r>
              <w:rPr/>
              <w:t xml:space="preserve">LC HD</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DVH02G50-OM3</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DVH02G50-OM3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2.9 ± 0.1 mm</w:t>
            </w:r>
          </w:p>
        </w:tc>
      </w:tr>
      <w:tr>
        <w:trPr/>
        <w:tc>
          <w:tcPr>
            <w:tcW w:w="2500" w:type="dxa"/>
            <w:shd w:val="clear" w:fill="D9D9D9"/>
          </w:tcPr>
          <w:p>
            <w:pPr/>
            <w:r>
              <w:rPr/>
              <w:t xml:space="preserve">Gewicht</w:t>
            </w:r>
          </w:p>
        </w:tc>
        <w:tc>
          <w:tcPr>
            <w:tcW w:w="7500" w:type="dxa"/>
          </w:tcPr>
          <w:p>
            <w:pPr/>
            <w:r>
              <w:rPr/>
              <w:t xml:space="preserve">15 kg/km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Biegeradius</w:t>
            </w:r>
          </w:p>
        </w:tc>
        <w:tc>
          <w:tcPr>
            <w:tcW w:w="7500" w:type="dxa"/>
          </w:tcPr>
          <w:p>
            <w:pPr/>
            <w:r>
              <w:rPr/>
              <w:t xml:space="preserve">30 mm (10D)</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P-TLC/TLC50D3Rxxxxx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2024-04-26T16:09:25+00:00</dcterms:created>
  <dcterms:modified xsi:type="dcterms:W3CDTF">2024-04-26T16:09:25+00:00</dcterms:modified>
</cp:coreProperties>
</file>

<file path=docProps/custom.xml><?xml version="1.0" encoding="utf-8"?>
<Properties xmlns="http://schemas.openxmlformats.org/officeDocument/2006/custom-properties" xmlns:vt="http://schemas.openxmlformats.org/officeDocument/2006/docPropsVTypes"/>
</file>