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cable fan-out unit 12-fold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Fan-out unit 12-fold for tDF® subrack</w:t>
            </w:r>
          </w:p>
        </w:tc>
      </w:tr>
      <w:tr>
        <w:trPr/>
        <w:tc>
          <w:tcPr>
            <w:tcW w:w="2500" w:type="dxa"/>
            <w:shd w:val="clear" w:fill="D9D9D9"/>
          </w:tcPr>
          <w:p>
            <w:pPr/>
            <w:r>
              <w:rPr/>
              <w:t xml:space="preserve">Dimensions (incl. brackets)</w:t>
            </w:r>
          </w:p>
        </w:tc>
        <w:tc>
          <w:tcPr>
            <w:tcW w:w="7500" w:type="dxa"/>
          </w:tcPr>
          <w:p>
            <w:pPr/>
            <w:r>
              <w:rPr/>
              <w:t xml:space="preserve">105 x 90 x 70mm (L x W x H)</w:t>
            </w:r>
          </w:p>
        </w:tc>
      </w:tr>
      <w:tr>
        <w:trPr/>
        <w:tc>
          <w:tcPr>
            <w:tcW w:w="2500" w:type="dxa"/>
            <w:shd w:val="clear" w:fill="D9D9D9"/>
          </w:tcPr>
          <w:p>
            <w:pPr/>
            <w:r>
              <w:rPr/>
              <w:t xml:space="preserve">Mounting</w:t>
            </w:r>
          </w:p>
        </w:tc>
        <w:tc>
          <w:tcPr>
            <w:tcW w:w="7500" w:type="dxa"/>
          </w:tcPr>
          <w:p>
            <w:pPr/>
            <w:r>
              <w:rPr/>
              <w:t xml:space="preserve">Horizontal or vertical in the rack system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TDF-FAN-OUT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2024-04-23T23:12:59+00:00</dcterms:created>
  <dcterms:modified xsi:type="dcterms:W3CDTF">2024-04-23T23:12:59+00:00</dcterms:modified>
</cp:coreProperties>
</file>

<file path=docProps/custom.xml><?xml version="1.0" encoding="utf-8"?>
<Properties xmlns="http://schemas.openxmlformats.org/officeDocument/2006/custom-properties" xmlns:vt="http://schemas.openxmlformats.org/officeDocument/2006/docPropsVTypes"/>
</file>