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12/Xtended - LWL Trunkkabel beids. 6x MPO/MTP® m. Pins 72E9/125µ OS2 LSHF, Typ B, Länge: xx in m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12/Xtended - LWL Trunkkabel MPO/MTP®
</w:t>
      </w:r>
    </w:p>
    <w:p>
      <w:pPr/>
      <w:r>
        <w:rPr/>
        <w:t xml:space="preserve">Das tML® 12/Xtended - Trunkkabel besitzt eine Typ B Belegung. Das dazugehörige tML® Xtended –Modul wird im Link auf einer Seite um 180 Grad gedreht eingebaut. Der komplette Link entspricht damit nach EIA/TIA der „Methode B“. Der Vorteil besteht darin, dass vor und nach der Migration grundsätzlich einheitlich belegte Patchkabel und Module eingesetzt werden.
</w:t>
      </w:r>
    </w:p>
    <w:p>
      <w:pPr/>
      <w:r>
        <w:rPr/>
        <w:t xml:space="preserve">**TECHNISCHE_DATEN
</w:t>
      </w:r>
    </w:p>
    <w:p>
      <w:pPr/>
      <w:r>
        <w:rPr/>
        <w:t xml:space="preserve">Das tML®– LWL Trunkkabel ist beidseitig mit MPO/MTP® Steckverbindern konfektioniert. 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Der Aufteiler ist optimiert für die tML®-Kabeleinführung Aufteiler.  Jedes Kabel ist beschriftet mit fortlaufender Seriennummer und Artikelnummer.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APC Male Push Pull Verriegelung mit Elite Pins (Grün)</w:t>
            </w:r>
          </w:p>
        </w:tc>
      </w:tr>
      <w:tr>
        <w:trPr/>
        <w:tc>
          <w:tcPr>
            <w:tcW w:w="2500" w:type="dxa"/>
            <w:shd w:val="clear" w:fill="D9D9D9"/>
          </w:tcPr>
          <w:p>
            <w:pPr/>
            <w:r>
              <w:rPr/>
              <w:t xml:space="preserve">Ferrule</w:t>
            </w:r>
          </w:p>
        </w:tc>
        <w:tc>
          <w:tcPr>
            <w:tcW w:w="7500" w:type="dxa"/>
          </w:tcPr>
          <w:p>
            <w:pPr/>
            <w:r>
              <w:rPr/>
              <w:t xml:space="preserve">12 Faser SM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MPO/MTP®APC</w:t>
            </w:r>
          </w:p>
        </w:tc>
        <w:tc>
          <w:tcPr/>
          <w:p>
            <w:pPr/>
            <w:r>
              <w:rPr/>
              <w:t xml:space="preserve">1550 nm</w:t>
            </w:r>
          </w:p>
        </w:tc>
        <w:tc>
          <w:tcPr/>
          <w:p>
            <w:pPr/>
            <w:r>
              <w:rPr/>
              <w:t xml:space="preserve">≤ 0.10 dB</w:t>
            </w:r>
          </w:p>
        </w:tc>
        <w:tc>
          <w:tcPr/>
          <w:p>
            <w:pPr/>
            <w:r>
              <w:rPr/>
              <w:t xml:space="preserve">0.20 dB</w:t>
            </w:r>
          </w:p>
        </w:tc>
        <w:tc>
          <w:tcPr/>
          <w:p>
            <w:pPr/>
            <w:r>
              <w:rPr/>
              <w:t xml:space="preserve">75 dB</w:t>
            </w:r>
          </w:p>
        </w:tc>
      </w:tr>
    </w:tbl>
    <w:p>
      <w:pPr/>
      <w:r>
        <w:rPr/>
        <w:t xml:space="preserve"/>
      </w:r>
    </w:p>
    <w:p>
      <w:pPr/>
      <w:r>
        <w:rPr/>
        <w:t xml:space="preserve">***LWL Aufteiler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Ø Peitsche</w:t>
            </w:r>
          </w:p>
        </w:tc>
        <w:tc>
          <w:tcPr>
            <w:tcW w:w="7500" w:type="dxa"/>
          </w:tcPr>
          <w:p>
            <w:pPr/>
            <w:r>
              <w:rPr/>
              <w:t xml:space="preserve">3.0 mm</w:t>
            </w:r>
          </w:p>
        </w:tc>
      </w:tr>
      <w:tr>
        <w:trPr/>
        <w:tc>
          <w:tcPr>
            <w:tcW w:w="2500" w:type="dxa"/>
            <w:shd w:val="clear" w:fill="D9D9D9"/>
          </w:tcPr>
          <w:p>
            <w:pPr/>
            <w:r>
              <w:rPr/>
              <w:t xml:space="preserve">Peitschenlänge</w:t>
            </w:r>
          </w:p>
        </w:tc>
        <w:tc>
          <w:tcPr>
            <w:tcW w:w="7500" w:type="dxa"/>
          </w:tcPr>
          <w:p>
            <w:pPr/>
            <w:r>
              <w:rPr/>
              <w:t xml:space="preserve">78 ± 5 cm (nicht gestuft)</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Temperaturbereich</w:t>
            </w:r>
          </w:p>
        </w:tc>
        <w:tc>
          <w:tcPr>
            <w:tcW w:w="7500" w:type="dxa"/>
          </w:tcPr>
          <w:p>
            <w:pPr/>
            <w:r>
              <w:rPr/>
              <w:t xml:space="preserve">Lagerung -25 bis +70°C, IEC 60794-1-22 F1</w:t>
            </w:r>
          </w:p>
        </w:tc>
      </w:tr>
      <w:tr>
        <w:trPr/>
        <w:tc>
          <w:tcPr>
            <w:tcW w:w="2500" w:type="dxa"/>
            <w:shd w:val="clear" w:fill="D9D9D9"/>
          </w:tcPr>
          <w:p>
            <w:pPr/>
            <w:r>
              <w:rPr/>
              <w:t xml:space="preserve"> </w:t>
            </w:r>
          </w:p>
        </w:tc>
        <w:tc>
          <w:tcPr>
            <w:tcW w:w="7500" w:type="dxa"/>
          </w:tcPr>
          <w:p>
            <w:pPr/>
            <w:r>
              <w:rPr/>
              <w:t xml:space="preserve">Einzug -10 bis +50°C</w:t>
            </w:r>
          </w:p>
        </w:tc>
      </w:tr>
      <w:tr>
        <w:trPr/>
        <w:tc>
          <w:tcPr>
            <w:tcW w:w="2500" w:type="dxa"/>
            <w:shd w:val="clear" w:fill="D9D9D9"/>
          </w:tcPr>
          <w:p>
            <w:pPr/>
            <w:r>
              <w:rPr/>
              <w:t xml:space="preserve"> </w:t>
            </w:r>
          </w:p>
        </w:tc>
        <w:tc>
          <w:tcPr>
            <w:tcW w:w="7500" w:type="dxa"/>
          </w:tcPr>
          <w:p>
            <w:pPr/>
            <w:r>
              <w:rPr/>
              <w:t xml:space="preserve">Betrieb -25 bis +60°C</w:t>
            </w:r>
          </w:p>
        </w:tc>
      </w:tr>
      <w:tr>
        <w:trPr/>
        <w:tc>
          <w:tcPr>
            <w:tcW w:w="2500" w:type="dxa"/>
            <w:shd w:val="clear" w:fill="D9D9D9"/>
          </w:tcPr>
          <w:p>
            <w:pPr/>
            <w:r>
              <w:rPr/>
              <w:t xml:space="preserve">Zugfestigkeit</w:t>
            </w:r>
          </w:p>
        </w:tc>
        <w:tc>
          <w:tcPr>
            <w:tcW w:w="7500" w:type="dxa"/>
          </w:tcPr>
          <w:p>
            <w:pPr/>
            <w:r>
              <w:rPr/>
              <w:t xml:space="preserve">IEC 60794-1-21 E1</w:t>
            </w:r>
          </w:p>
        </w:tc>
      </w:tr>
      <w:tr>
        <w:trPr/>
        <w:tc>
          <w:tcPr>
            <w:tcW w:w="2500" w:type="dxa"/>
            <w:shd w:val="clear" w:fill="D9D9D9"/>
          </w:tcPr>
          <w:p>
            <w:pPr/>
            <w:r>
              <w:rPr/>
              <w:t xml:space="preserve">Querdruck</w:t>
            </w:r>
          </w:p>
        </w:tc>
        <w:tc>
          <w:tcPr>
            <w:tcW w:w="7500" w:type="dxa"/>
          </w:tcPr>
          <w:p>
            <w:pPr/>
            <w:r>
              <w:rPr/>
              <w:t xml:space="preserve">IEC 60794-1-21 E3</w:t>
            </w:r>
          </w:p>
        </w:tc>
      </w:tr>
      <w:tr>
        <w:trPr/>
        <w:tc>
          <w:tcPr>
            <w:tcW w:w="2500" w:type="dxa"/>
            <w:shd w:val="clear" w:fill="D9D9D9"/>
          </w:tcPr>
          <w:p>
            <w:pPr/>
            <w:r>
              <w:rPr/>
              <w:t xml:space="preserve">Schlag</w:t>
            </w:r>
          </w:p>
        </w:tc>
        <w:tc>
          <w:tcPr>
            <w:tcW w:w="7500" w:type="dxa"/>
          </w:tcPr>
          <w:p>
            <w:pPr/>
            <w:r>
              <w:rPr/>
              <w:t xml:space="preserve">IEC 60794-1-21 E4</w:t>
            </w:r>
          </w:p>
        </w:tc>
      </w:tr>
      <w:tr>
        <w:trPr/>
        <w:tc>
          <w:tcPr>
            <w:tcW w:w="2500" w:type="dxa"/>
            <w:shd w:val="clear" w:fill="D9D9D9"/>
          </w:tcPr>
          <w:p>
            <w:pPr/>
            <w:r>
              <w:rPr/>
              <w:t xml:space="preserve">Wiederholte Biegung</w:t>
            </w:r>
          </w:p>
        </w:tc>
        <w:tc>
          <w:tcPr>
            <w:tcW w:w="7500" w:type="dxa"/>
          </w:tcPr>
          <w:p>
            <w:pPr/>
            <w:r>
              <w:rPr/>
              <w:t xml:space="preserve">IEC 60794-1-21 E6</w:t>
            </w:r>
          </w:p>
        </w:tc>
      </w:tr>
      <w:tr>
        <w:trPr/>
        <w:tc>
          <w:tcPr>
            <w:tcW w:w="2500" w:type="dxa"/>
            <w:shd w:val="clear" w:fill="D9D9D9"/>
          </w:tcPr>
          <w:p>
            <w:pPr/>
            <w:r>
              <w:rPr/>
              <w:t xml:space="preserve">Torsion</w:t>
            </w:r>
          </w:p>
        </w:tc>
        <w:tc>
          <w:tcPr>
            <w:tcW w:w="7500" w:type="dxa"/>
          </w:tcPr>
          <w:p>
            <w:pPr/>
            <w:r>
              <w:rPr/>
              <w:t xml:space="preserve">IEC 60794-1-21 E7</w:t>
            </w:r>
          </w:p>
        </w:tc>
      </w:tr>
      <w:tr>
        <w:trPr/>
        <w:tc>
          <w:tcPr>
            <w:tcW w:w="2500" w:type="dxa"/>
            <w:shd w:val="clear" w:fill="D9D9D9"/>
          </w:tcPr>
          <w:p>
            <w:pPr/>
            <w:r>
              <w:rPr/>
              <w:t xml:space="preserve">Kabelbiegung</w:t>
            </w:r>
          </w:p>
        </w:tc>
        <w:tc>
          <w:tcPr>
            <w:tcW w:w="7500" w:type="dxa"/>
          </w:tcPr>
          <w:p>
            <w:pPr/>
            <w:r>
              <w:rPr/>
              <w:t xml:space="preserve">IEC 60794-1-21 E11</w:t>
            </w:r>
          </w:p>
        </w:tc>
      </w:tr>
      <w:tr>
        <w:trPr/>
        <w:tc>
          <w:tcPr>
            <w:tcW w:w="2500" w:type="dxa"/>
            <w:shd w:val="clear" w:fill="D9D9D9"/>
          </w:tcPr>
          <w:p>
            <w:pPr/>
            <w:r>
              <w:rPr/>
              <w:t xml:space="preserve">Längswasserdichtigkeit</w:t>
            </w:r>
          </w:p>
        </w:tc>
        <w:tc>
          <w:tcPr>
            <w:tcW w:w="7500" w:type="dxa"/>
          </w:tcPr>
          <w:p>
            <w:pPr/>
            <w:r>
              <w:rPr/>
              <w:t xml:space="preserve">IEC 60794-1-22 F5</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Mantelfarbe</w:t>
            </w:r>
          </w:p>
        </w:tc>
        <w:tc>
          <w:tcPr>
            <w:tcW w:w="7500" w:type="dxa"/>
          </w:tcPr>
          <w:p>
            <w:pPr/>
            <w:r>
              <w:rPr/>
              <w:t xml:space="preserve">grün, ähnlich RAL 6016</w:t>
            </w:r>
          </w:p>
        </w:tc>
      </w:tr>
      <w:tr>
        <w:trPr/>
        <w:tc>
          <w:tcPr>
            <w:tcW w:w="2500" w:type="dxa"/>
            <w:shd w:val="clear" w:fill="D9D9D9"/>
          </w:tcPr>
          <w:p>
            <w:pPr/>
            <w:r>
              <w:rPr/>
              <w:t xml:space="preserve">Halogenfreiheit, Korrosivität</w:t>
            </w:r>
          </w:p>
        </w:tc>
        <w:tc>
          <w:tcPr>
            <w:tcW w:w="7500" w:type="dxa"/>
          </w:tcPr>
          <w:p>
            <w:pPr/>
            <w:r>
              <w:rPr/>
              <w:t xml:space="preserve">IEC 60754-1/-2, EN 60754-1/-2, VDE 0482-754-1/-2</w:t>
            </w:r>
          </w:p>
        </w:tc>
      </w:tr>
      <w:tr>
        <w:trPr/>
        <w:tc>
          <w:tcPr>
            <w:tcW w:w="2500" w:type="dxa"/>
            <w:shd w:val="clear" w:fill="D9D9D9"/>
          </w:tcPr>
          <w:p>
            <w:pPr/>
            <w:r>
              <w:rPr/>
              <w:t xml:space="preserve">Flammwidrigkeit</w:t>
            </w:r>
          </w:p>
        </w:tc>
        <w:tc>
          <w:tcPr>
            <w:tcW w:w="7500" w:type="dxa"/>
          </w:tcPr>
          <w:p>
            <w:pPr/>
            <w:r>
              <w:rPr/>
              <w:t xml:space="preserve">IEC 60332-1-2, EN 60332-1-2, VDE 0482-332-1-2</w:t>
            </w:r>
          </w:p>
        </w:tc>
      </w:tr>
      <w:tr>
        <w:trPr/>
        <w:tc>
          <w:tcPr>
            <w:tcW w:w="2500" w:type="dxa"/>
            <w:shd w:val="clear" w:fill="D9D9D9"/>
          </w:tcPr>
          <w:p>
            <w:pPr/>
            <w:r>
              <w:rPr/>
              <w:t xml:space="preserve">Brandfortleitung</w:t>
            </w:r>
          </w:p>
        </w:tc>
        <w:tc>
          <w:tcPr>
            <w:tcW w:w="7500" w:type="dxa"/>
          </w:tcPr>
          <w:p>
            <w:pPr/>
            <w:r>
              <w:rPr/>
              <w:t xml:space="preserve">IEC 60332-3-24, EN 50266-2-4, VDE 0482-266-2-4</w:t>
            </w:r>
          </w:p>
        </w:tc>
      </w:tr>
      <w:tr>
        <w:trPr/>
        <w:tc>
          <w:tcPr>
            <w:tcW w:w="2500" w:type="dxa"/>
            <w:shd w:val="clear" w:fill="D9D9D9"/>
          </w:tcPr>
          <w:p>
            <w:pPr/>
            <w:r>
              <w:rPr/>
              <w:t xml:space="preserve">Rauchgasdichte</w:t>
            </w:r>
          </w:p>
        </w:tc>
        <w:tc>
          <w:tcPr>
            <w:tcW w:w="7500" w:type="dxa"/>
          </w:tcPr>
          <w:p>
            <w:pPr/>
            <w:r>
              <w:rPr/>
              <w:t xml:space="preserve">IEC 61034-1/-2, EN 61034-1/-2, VDE 0482-1034-1/-2</w:t>
            </w:r>
          </w:p>
        </w:tc>
      </w:tr>
      <w:tr>
        <w:trPr/>
        <w:tc>
          <w:tcPr>
            <w:tcW w:w="2500" w:type="dxa"/>
            <w:shd w:val="clear" w:fill="D9D9D9"/>
          </w:tcPr>
          <w:p>
            <w:pPr/>
            <w:r>
              <w:rPr/>
              <w:t xml:space="preserve">Brandverhalten (Euroklassen)</w:t>
            </w:r>
          </w:p>
        </w:tc>
        <w:tc>
          <w:tcPr>
            <w:tcW w:w="7500" w:type="dxa"/>
          </w:tcPr>
          <w:p>
            <w:pPr/>
            <w:r>
              <w:rPr/>
              <w:t xml:space="preserve">EN 13501-6: Eca</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Kabeltyp</w:t>
            </w:r>
          </w:p>
        </w:tc>
        <w:tc>
          <w:tcPr>
            <w:tcW w:w="7500" w:type="dxa"/>
          </w:tcPr>
          <w:p>
            <w:pPr/>
            <w:r>
              <w:rPr/>
              <w:t xml:space="preserve">Universal U-DQ(ZN)BH für innen und außen Anwendungen</w:t>
            </w:r>
          </w:p>
        </w:tc>
      </w:tr>
      <w:tr>
        <w:trPr/>
        <w:tc>
          <w:tcPr>
            <w:tcW w:w="2500" w:type="dxa"/>
            <w:shd w:val="clear" w:fill="D9D9D9"/>
          </w:tcPr>
          <w:p>
            <w:pPr/>
            <w:r>
              <w:rPr/>
              <w:t xml:space="preserve"> </w:t>
            </w:r>
          </w:p>
        </w:tc>
        <w:tc>
          <w:tcPr>
            <w:tcW w:w="7500" w:type="dxa"/>
          </w:tcPr>
          <w:p>
            <w:pPr/>
            <w:r>
              <w:rPr/>
              <w:t xml:space="preserve">metallfrei, trockene Verseilhohlräume, nagetiergeschützt, flammwidrig, entspricht IEC 60332.1 und IEC 60332.3 C</w:t>
            </w:r>
          </w:p>
        </w:tc>
      </w:tr>
      <w:tr>
        <w:trPr/>
        <w:tc>
          <w:tcPr>
            <w:tcW w:w="2500" w:type="dxa"/>
            <w:shd w:val="clear" w:fill="D9D9D9"/>
          </w:tcPr>
          <w:p>
            <w:pPr/>
            <w:r>
              <w:rPr/>
              <w:t xml:space="preserve">Fasertyp</w:t>
            </w:r>
          </w:p>
        </w:tc>
        <w:tc>
          <w:tcPr>
            <w:tcW w:w="7500" w:type="dxa"/>
          </w:tcPr>
          <w:p>
            <w:pPr/>
            <w:r>
              <w:rPr/>
              <w:t xml:space="preserve">Corning E9/125 G.652.D</w:t>
            </w:r>
          </w:p>
        </w:tc>
      </w:tr>
      <w:tr>
        <w:trPr/>
        <w:tc>
          <w:tcPr>
            <w:tcW w:w="2500" w:type="dxa"/>
            <w:shd w:val="clear" w:fill="D9D9D9"/>
          </w:tcPr>
          <w:p>
            <w:pPr/>
            <w:r>
              <w:rPr/>
              <w:t xml:space="preserve">Faserzahl</w:t>
            </w:r>
          </w:p>
        </w:tc>
        <w:tc>
          <w:tcPr>
            <w:tcW w:w="7500" w:type="dxa"/>
          </w:tcPr>
          <w:p>
            <w:pPr/>
            <w:r>
              <w:rPr/>
              <w:t xml:space="preserve">72</w:t>
            </w:r>
          </w:p>
        </w:tc>
      </w:tr>
      <w:tr>
        <w:trPr/>
        <w:tc>
          <w:tcPr>
            <w:tcW w:w="2500" w:type="dxa"/>
            <w:shd w:val="clear" w:fill="D9D9D9"/>
          </w:tcPr>
          <w:p>
            <w:pPr/>
            <w:r>
              <w:rPr/>
              <w:t xml:space="preserve">Bündeladern</w:t>
            </w:r>
          </w:p>
        </w:tc>
        <w:tc>
          <w:tcPr>
            <w:tcW w:w="7500" w:type="dxa"/>
          </w:tcPr>
          <w:p>
            <w:pPr/>
            <w:r>
              <w:rPr/>
              <w:t xml:space="preserve">6</w:t>
            </w:r>
          </w:p>
        </w:tc>
      </w:tr>
      <w:tr>
        <w:trPr/>
        <w:tc>
          <w:tcPr>
            <w:tcW w:w="2500" w:type="dxa"/>
            <w:shd w:val="clear" w:fill="D9D9D9"/>
          </w:tcPr>
          <w:p>
            <w:pPr/>
            <w:r>
              <w:rPr/>
              <w:t xml:space="preserve">øüber Mantel</w:t>
            </w:r>
          </w:p>
        </w:tc>
        <w:tc>
          <w:tcPr>
            <w:tcW w:w="7500" w:type="dxa"/>
          </w:tcPr>
          <w:p>
            <w:pPr/>
            <w:r>
              <w:rPr/>
              <w:t xml:space="preserve">12.2 mm</w:t>
            </w:r>
          </w:p>
        </w:tc>
      </w:tr>
      <w:tr>
        <w:trPr/>
        <w:tc>
          <w:tcPr>
            <w:tcW w:w="2500" w:type="dxa"/>
            <w:shd w:val="clear" w:fill="D9D9D9"/>
          </w:tcPr>
          <w:p>
            <w:pPr/>
            <w:r>
              <w:rPr/>
              <w:t xml:space="preserve">Gewicht</w:t>
            </w:r>
          </w:p>
        </w:tc>
        <w:tc>
          <w:tcPr>
            <w:tcW w:w="7500" w:type="dxa"/>
          </w:tcPr>
          <w:p>
            <w:pPr/>
            <w:r>
              <w:rPr/>
              <w:t xml:space="preserve">164 kg/km</w:t>
            </w:r>
          </w:p>
        </w:tc>
      </w:tr>
      <w:tr>
        <w:trPr/>
        <w:tc>
          <w:tcPr>
            <w:tcW w:w="2500" w:type="dxa"/>
            <w:shd w:val="clear" w:fill="D9D9D9"/>
          </w:tcPr>
          <w:p>
            <w:pPr/>
            <w:r>
              <w:rPr/>
              <w:t xml:space="preserve">Biegeradius</w:t>
            </w:r>
          </w:p>
        </w:tc>
        <w:tc>
          <w:tcPr>
            <w:tcW w:w="7500" w:type="dxa"/>
          </w:tcPr>
          <w:p>
            <w:pPr/>
            <w:r>
              <w:rPr/>
              <w:t xml:space="preserve">185 mm</w:t>
            </w:r>
          </w:p>
        </w:tc>
      </w:tr>
      <w:tr>
        <w:trPr/>
        <w:tc>
          <w:tcPr>
            <w:tcW w:w="2500" w:type="dxa"/>
            <w:shd w:val="clear" w:fill="D9D9D9"/>
          </w:tcPr>
          <w:p>
            <w:pPr/>
            <w:r>
              <w:rPr/>
              <w:t xml:space="preserve">Zugkraft</w:t>
            </w:r>
          </w:p>
        </w:tc>
        <w:tc>
          <w:tcPr>
            <w:tcW w:w="7500" w:type="dxa"/>
          </w:tcPr>
          <w:p>
            <w:pPr/>
            <w:r>
              <w:rPr/>
              <w:t xml:space="preserve">6000 N</w:t>
            </w:r>
          </w:p>
        </w:tc>
      </w:tr>
      <w:tr>
        <w:trPr/>
        <w:tc>
          <w:tcPr>
            <w:tcW w:w="2500" w:type="dxa"/>
            <w:shd w:val="clear" w:fill="D9D9D9"/>
          </w:tcPr>
          <w:p>
            <w:pPr/>
            <w:r>
              <w:rPr/>
              <w:t xml:space="preserve">Querdruck</w:t>
            </w:r>
          </w:p>
        </w:tc>
        <w:tc>
          <w:tcPr>
            <w:tcW w:w="7500" w:type="dxa"/>
          </w:tcPr>
          <w:p>
            <w:pPr/>
            <w:r>
              <w:rPr/>
              <w:t xml:space="preserve">3000 N dauernd</w:t>
            </w:r>
          </w:p>
        </w:tc>
      </w:tr>
      <w:tr>
        <w:trPr/>
        <w:tc>
          <w:tcPr>
            <w:tcW w:w="2500" w:type="dxa"/>
            <w:shd w:val="clear" w:fill="D9D9D9"/>
          </w:tcPr>
          <w:p>
            <w:pPr/>
            <w:r>
              <w:rPr/>
              <w:t xml:space="preserve"> </w:t>
            </w:r>
          </w:p>
        </w:tc>
        <w:tc>
          <w:tcPr>
            <w:tcW w:w="7500" w:type="dxa"/>
          </w:tcPr>
          <w:p>
            <w:pPr/>
            <w:r>
              <w:rPr/>
              <w:t xml:space="preserve">5000 N kurzzeitig</w:t>
            </w:r>
          </w:p>
        </w:tc>
      </w:tr>
      <w:tr>
        <w:trPr/>
        <w:tc>
          <w:tcPr>
            <w:tcW w:w="2500" w:type="dxa"/>
            <w:shd w:val="clear" w:fill="D9D9D9"/>
          </w:tcPr>
          <w:p>
            <w:pPr/>
            <w:r>
              <w:rPr/>
              <w:t xml:space="preserve">Brandlast</w:t>
            </w:r>
          </w:p>
        </w:tc>
        <w:tc>
          <w:tcPr>
            <w:tcW w:w="7500" w:type="dxa"/>
          </w:tcPr>
          <w:p>
            <w:pPr/>
            <w:r>
              <w:rPr/>
              <w:t xml:space="preserve">681 kWh/km</w:t>
            </w:r>
          </w:p>
        </w:tc>
      </w:tr>
      <w:tr>
        <w:trPr/>
        <w:tc>
          <w:tcPr>
            <w:tcW w:w="2500" w:type="dxa"/>
            <w:shd w:val="clear" w:fill="D9D9D9"/>
          </w:tcPr>
          <w:p>
            <w:pPr/>
            <w:r>
              <w:rPr/>
              <w:t xml:space="preserve"> </w:t>
            </w:r>
          </w:p>
        </w:tc>
        <w:tc>
          <w:tcPr>
            <w:tcW w:w="7500" w:type="dxa"/>
          </w:tcPr>
          <w:p>
            <w:pPr/>
            <w:r>
              <w:rPr/>
              <w:t xml:space="preserve">2218 MJ/km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Toleranzen bei Längen bis 40m</w:t>
            </w:r>
          </w:p>
        </w:tc>
        <w:tc>
          <w:tcPr>
            <w:tcW w:w="7500" w:type="dxa"/>
          </w:tcPr>
          <w:p>
            <w:pPr/>
            <w:r>
              <w:rPr/>
              <w:t xml:space="preserve">± 100 cm</w:t>
            </w:r>
          </w:p>
        </w:tc>
      </w:tr>
      <w:tr>
        <w:trPr/>
        <w:tc>
          <w:tcPr>
            <w:tcW w:w="2500" w:type="dxa"/>
            <w:shd w:val="clear" w:fill="D9D9D9"/>
          </w:tcPr>
          <w:p>
            <w:pPr/>
            <w:r>
              <w:rPr/>
              <w:t xml:space="preserve">Toleranzen bei Längen bis 100m</w:t>
            </w:r>
          </w:p>
        </w:tc>
        <w:tc>
          <w:tcPr>
            <w:tcW w:w="7500" w:type="dxa"/>
          </w:tcPr>
          <w:p>
            <w:pPr/>
            <w:r>
              <w:rPr/>
              <w:t xml:space="preserve">± 100 cm</w:t>
            </w:r>
          </w:p>
        </w:tc>
      </w:tr>
      <w:tr>
        <w:trPr/>
        <w:tc>
          <w:tcPr>
            <w:tcW w:w="2500" w:type="dxa"/>
            <w:shd w:val="clear" w:fill="D9D9D9"/>
          </w:tcPr>
          <w:p>
            <w:pPr/>
            <w:r>
              <w:rPr/>
              <w:t xml:space="preserve">Toleranzen bei Längen ab 100m</w:t>
            </w:r>
          </w:p>
        </w:tc>
        <w:tc>
          <w:tcPr>
            <w:tcW w:w="7500" w:type="dxa"/>
          </w:tcPr>
          <w:p>
            <w:pPr/>
            <w:r>
              <w:rPr/>
              <w:t xml:space="preserve">± 2%</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TML-MPP/MPP09B72E-Bxx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2024-09-20T04:49:48+00:00</dcterms:created>
  <dcterms:modified xsi:type="dcterms:W3CDTF">2024-09-20T04:49:48+00:00</dcterms:modified>
</cp:coreProperties>
</file>

<file path=docProps/custom.xml><?xml version="1.0" encoding="utf-8"?>
<Properties xmlns="http://schemas.openxmlformats.org/officeDocument/2006/custom-properties" xmlns:vt="http://schemas.openxmlformats.org/officeDocument/2006/docPropsVTypes"/>
</file>