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patch cord both sides 1x MPO/MTP® Female 12G50/125µ OM3 LSOH, Type B, Length: xxx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Patch cord MPO/MTP® SR4
</w:t>
      </w:r>
    </w:p>
    <w:p>
      <w:pPr/>
      <w:r>
        <w:rPr/>
        <w:t xml:space="preserve">**TECHNISCHE_DATEN
</w:t>
      </w:r>
    </w:p>
    <w:p>
      <w:pPr/>
      <w:r>
        <w:rPr/>
        <w:t xml:space="preserve">The tML®- FO patch cord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TML-MP/MP50I12G3Bxxx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2024-04-19T07:13:10+00:00</dcterms:created>
  <dcterms:modified xsi:type="dcterms:W3CDTF">2024-04-19T07:13:10+00:00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