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tBL® - Consolidationpoint-Gehäuse für 10", ohne Frontplatte, schwarz
</w:t>
      </w:r>
    </w:p>
    <w:p>
      <w:pPr/>
      <w:r>
        <w:rPr/>
        <w:t xml:space="preserve">**tBL® - tde Basic Link (TP)
</w:t>
      </w:r>
    </w:p>
    <w:p>
      <w:pPr/>
      <w:r>
        <w:rPr/>
        <w:t xml:space="preserve">tBL® tde Basic Link (TP) ist eine komplette Systemlösung für die strukturierte Gebäudeverkabelung in Cat6A für Übertragungsraten von bis zu 10GbE in Echtzeit. Die tBL® - Verkabelungsstrecke entspricht einem Permanentlink gemäß ISO/IEC 11801 (EN 50173). Die RJ45 Module stehen in den Bauformen Keystone (KS) und Datacenter (DC) zur Verfügung. Die kompaktere Bauform des 6fach RJ45 DC Moduls ermöglicht eine hohe Packungsdichte von bis zu 48 RJ45 Ports auf 1HE. Die RJ45 Module werden durch einfaches Stecken mit dem tBL® - Kabel Termination Block kontaktiert. Der schlanke Kabel Termination Block lässt sich montagefreundlich mit Hilfe der tBL®-Handzange an das Kabel konfektionieren und bietet sich auch für die Vorkonfektionierung von Kabelstrecken an. Durch den modularen Aufbau sind einzelne RJ45 Module jederzeit ohne Neukonfektionierung austauschbar. Als preiswerte Alternative gibt es die Keystone Module auch ohne Kabel Termination Block in der tool-less Ausführung.
Die Systemlösung wird durch ein umfangreiches Portfolio an Trägersystemen  abgerundet. Hierzu zählen designfähige Anschlussdosen, Bodentankeinsätze, Consolidationpointgehäuse, Hutschienenmodule und Patchfelder in 1/2 und 1HE.
</w:t>
      </w:r>
    </w:p>
    <w:p>
      <w:pPr/>
      <w:r>
        <w:rPr/>
        <w:t xml:space="preserve">**tBL® - tde Basic Link (LWL-Verteiler)
</w:t>
      </w:r>
    </w:p>
    <w:p>
      <w:pPr/>
      <w:r>
        <w:rPr/>
        <w:t xml:space="preserve">Die LWL Verteiler der tBL® - tde Basic Link Serie sind optimierte Produkte mit hoher Funktionalität und einfachster Handhabung bei der Montage. Das Programm beinhaltet Spleißboxen und Breakoutboxen für 19 Zoll -, Wand- und Hutschienenmontage. Diese Produkte zeichnen sich durch eine hohe Packungsdichte und ein optimales Fasermanagement aus, so dass die zulässigen Biegeradien nicht unterschritten werden können. Zudem gibt es auch keine scharfen Ecken oder Kanten, um eine Beschädigung der Pigtails oder Bündeladern zu vermeiden. Die Frontplatten bzw. Rangierpanel sind demontierbar. Es gibt Ausführungen für E2000, FC PC, LC, MPO/MTP, MTRJ, MU, SC, und ST. Diese Produkte können mit oder ohne Bestückung bezogen werden. Darüber hinaus gibt es auch Sonderausführungen in IP66 für Outdoor und Offshore Anwendungen.
</w:t>
      </w:r>
    </w:p>
    <w:p>
      <w:pPr/>
      <w:r>
        <w:rPr/>
        <w:t xml:space="preserve">**Consolidation Point
</w:t>
      </w:r>
    </w:p>
    <w:p>
      <w:pPr/>
      <w:r>
        <w:rPr/>
        <w:t xml:space="preserve">
• Formschönes Gehäuse für Wand-, Decken- und Bodenmontage
• Aufnahme (optional) für alle gängigen Spleißkassetten
• LWL- und Kupferanwendungen
• Frontplatten für alle 10" / 19" (je nach Gehäusetyp)
• Standardteilfrontplatten 3HE/8TE verwendbar
• tML® kompatibel
• Aufbau für die verschiedensten Anwendungen
• Kabel Ein- und Ausgang (Einzelzugentlastung) möglich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Gehäuse</w:t>
            </w:r>
          </w:p>
        </w:tc>
        <w:tc>
          <w:tcPr>
            <w:tcW w:w="7500" w:type="dxa"/>
          </w:tcPr>
          <w:p>
            <w:pPr/>
            <w:r>
              <w:rPr/>
              <w:t xml:space="preserve">Für 10" bestehend aus: Bodenschale mit beidseitiger Zugentlastung und Deckel mit Staubschutzklappe und Dichtlippen</w:t>
            </w:r>
          </w:p>
        </w:tc>
      </w:tr>
      <w:tr>
        <w:trPr/>
        <w:tc>
          <w:tcPr>
            <w:tcW w:w="2500" w:type="dxa"/>
            <w:shd w:val="clear" w:fill="D9D9D9"/>
          </w:tcPr>
          <w:p>
            <w:pPr/>
            <w:r>
              <w:rPr/>
              <w:t xml:space="preserve">Frontplatte</w:t>
            </w:r>
          </w:p>
        </w:tc>
        <w:tc>
          <w:tcPr>
            <w:tcW w:w="7500" w:type="dxa"/>
          </w:tcPr>
          <w:p>
            <w:pPr/>
            <w:r>
              <w:rPr/>
              <w:t xml:space="preserve">Keine (zur Aufnahme von verschiedenen 10"/1HE Frontplatten)</w:t>
            </w:r>
          </w:p>
        </w:tc>
      </w:tr>
      <w:tr>
        <w:trPr/>
        <w:tc>
          <w:tcPr>
            <w:tcW w:w="2500" w:type="dxa"/>
            <w:shd w:val="clear" w:fill="D9D9D9"/>
          </w:tcPr>
          <w:p>
            <w:pPr/>
            <w:r>
              <w:rPr/>
              <w:t xml:space="preserve">Abmessungen</w:t>
            </w:r>
          </w:p>
        </w:tc>
        <w:tc>
          <w:tcPr>
            <w:tcW w:w="7500" w:type="dxa"/>
          </w:tcPr>
          <w:p>
            <w:pPr/>
            <w:r>
              <w:rPr/>
              <w:t xml:space="preserve">50 x 260 x 300 mm (HxBxT)</w:t>
            </w:r>
          </w:p>
        </w:tc>
      </w:tr>
      <w:tr>
        <w:trPr/>
        <w:tc>
          <w:tcPr>
            <w:tcW w:w="2500" w:type="dxa"/>
            <w:shd w:val="clear" w:fill="D9D9D9"/>
          </w:tcPr>
          <w:p>
            <w:pPr/>
            <w:r>
              <w:rPr/>
              <w:t xml:space="preserve">Material</w:t>
            </w:r>
          </w:p>
        </w:tc>
        <w:tc>
          <w:tcPr>
            <w:tcW w:w="7500" w:type="dxa"/>
          </w:tcPr>
          <w:p>
            <w:pPr/>
            <w:r>
              <w:rPr/>
              <w:t xml:space="preserve">Stahl 1203</w:t>
            </w:r>
          </w:p>
        </w:tc>
      </w:tr>
      <w:tr>
        <w:trPr/>
        <w:tc>
          <w:tcPr>
            <w:tcW w:w="2500" w:type="dxa"/>
            <w:shd w:val="clear" w:fill="D9D9D9"/>
          </w:tcPr>
          <w:p>
            <w:pPr/>
            <w:r>
              <w:rPr/>
              <w:t xml:space="preserve">Farbe</w:t>
            </w:r>
          </w:p>
        </w:tc>
        <w:tc>
          <w:tcPr>
            <w:tcW w:w="7500" w:type="dxa"/>
          </w:tcPr>
          <w:p>
            <w:pPr/>
            <w:r>
              <w:rPr/>
              <w:t xml:space="preserve">RAL 9005 (schwarz)</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TBL-CONS10/1HE-SW</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2024-03-29T06:34:55+00:00</dcterms:created>
  <dcterms:modified xsi:type="dcterms:W3CDTF">2024-03-29T06:34:55+00:00</dcterms:modified>
</cp:coreProperties>
</file>

<file path=docProps/custom.xml><?xml version="1.0" encoding="utf-8"?>
<Properties xmlns="http://schemas.openxmlformats.org/officeDocument/2006/custom-properties" xmlns:vt="http://schemas.openxmlformats.org/officeDocument/2006/docPropsVTypes"/>
</file>