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RJ45 Keystonemodul Cat.6A ISO/IEC ohne Termination Block, gewinkelt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RJ45 Module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 gewinkelt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 30 N</w:t>
            </w:r>
          </w:p>
        </w:tc>
      </w:tr>
      <w:tr>
        <w:trPr/>
        <w:tc>
          <w:tcPr>
            <w:tcW w:w="2500" w:type="dxa"/>
            <w:shd w:val="clear" w:fill="D9D9D9"/>
          </w:tcPr>
          <w:p>
            <w:pPr/>
            <w:r>
              <w:rPr/>
              <w:t xml:space="preserve">Steckzyklen (RJ45 Seite)</w:t>
            </w:r>
          </w:p>
        </w:tc>
        <w:tc>
          <w:tcPr>
            <w:tcW w:w="7500" w:type="dxa"/>
          </w:tcPr>
          <w:p>
            <w:pPr/>
            <w:r>
              <w:rPr/>
              <w:t xml:space="preserve">≥ 750</w:t>
            </w:r>
          </w:p>
        </w:tc>
      </w:tr>
      <w:tr>
        <w:trPr/>
        <w:tc>
          <w:tcPr>
            <w:tcW w:w="2500" w:type="dxa"/>
            <w:shd w:val="clear" w:fill="D9D9D9"/>
          </w:tcPr>
          <w:p>
            <w:pPr/>
            <w:r>
              <w:rPr/>
              <w:t xml:space="preserve">Steckzyklen (Rückseite)</w:t>
            </w:r>
          </w:p>
        </w:tc>
        <w:tc>
          <w:tcPr>
            <w:tcW w:w="7500" w:type="dxa"/>
          </w:tcPr>
          <w:p>
            <w:pPr/>
            <w:r>
              <w:rPr/>
              <w:t xml:space="preserve">≥ 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 opak</w:t>
            </w:r>
          </w:p>
        </w:tc>
      </w:tr>
      <w:tr>
        <w:trPr/>
        <w:tc>
          <w:tcPr>
            <w:tcW w:w="2500" w:type="dxa"/>
            <w:shd w:val="clear" w:fill="D9D9D9"/>
          </w:tcPr>
          <w:p>
            <w:pPr/>
            <w:r>
              <w:rPr/>
              <w:t xml:space="preserve">Goldauflage im Kontaktbereich</w:t>
            </w:r>
          </w:p>
        </w:tc>
        <w:tc>
          <w:tcPr>
            <w:tcW w:w="7500" w:type="dxa"/>
          </w:tcPr>
          <w:p>
            <w:pPr/>
            <w:r>
              <w:rPr/>
              <w:t xml:space="preserve">50 µ"</w:t>
            </w:r>
          </w:p>
        </w:tc>
      </w:tr>
      <w:tr>
        <w:trPr/>
        <w:tc>
          <w:tcPr>
            <w:tcW w:w="2500" w:type="dxa"/>
            <w:shd w:val="clear" w:fill="D9D9D9"/>
          </w:tcPr>
          <w:p>
            <w:pPr/>
            <w:r>
              <w:rPr/>
              <w:t xml:space="preserve">Goldauflage Schneidklemmkontakte</w:t>
            </w:r>
          </w:p>
        </w:tc>
        <w:tc>
          <w:tcPr>
            <w:tcW w:w="7500" w:type="dxa"/>
          </w:tcPr>
          <w:p>
            <w:pPr/>
            <w:r>
              <w:rPr/>
              <w:t xml:space="preserve">30 µ"</w:t>
            </w:r>
          </w:p>
        </w:tc>
      </w:tr>
      <w:tr>
        <w:trPr/>
        <w:tc>
          <w:tcPr>
            <w:tcW w:w="2500" w:type="dxa"/>
            <w:shd w:val="clear" w:fill="D9D9D9"/>
          </w:tcPr>
          <w:p>
            <w:pPr/>
            <w:r>
              <w:rPr/>
              <w:t xml:space="preserve">Kabeldurchmesser</w:t>
            </w:r>
          </w:p>
        </w:tc>
        <w:tc>
          <w:tcPr>
            <w:tcW w:w="7500" w:type="dxa"/>
          </w:tcPr>
          <w:p>
            <w:pPr/>
            <w:r>
              <w:rPr/>
              <w:t xml:space="preserve">5-9.5 mm</w:t>
            </w:r>
          </w:p>
        </w:tc>
      </w:tr>
      <w:tr>
        <w:trPr/>
        <w:tc>
          <w:tcPr>
            <w:tcW w:w="2500" w:type="dxa"/>
            <w:shd w:val="clear" w:fill="D9D9D9"/>
          </w:tcPr>
          <w:p>
            <w:pPr/>
            <w:r>
              <w:rPr/>
              <w:t xml:space="preserve">Kabelabgang</w:t>
            </w:r>
          </w:p>
        </w:tc>
        <w:tc>
          <w:tcPr>
            <w:tcW w:w="7500" w:type="dxa"/>
          </w:tcPr>
          <w:p>
            <w:pPr/>
            <w:r>
              <w:rPr/>
              <w:t xml:space="preserve">75°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 20 mΩ</w:t>
            </w:r>
          </w:p>
        </w:tc>
      </w:tr>
      <w:tr>
        <w:trPr/>
        <w:tc>
          <w:tcPr>
            <w:tcW w:w="2500" w:type="dxa"/>
            <w:shd w:val="clear" w:fill="D9D9D9"/>
          </w:tcPr>
          <w:p>
            <w:pPr/>
            <w:r>
              <w:rPr/>
              <w:t xml:space="preserve">Isolationswiderstand zwischen den Kontakten</w:t>
            </w:r>
          </w:p>
        </w:tc>
        <w:tc>
          <w:tcPr>
            <w:tcW w:w="7500" w:type="dxa"/>
          </w:tcPr>
          <w:p>
            <w:pPr/>
            <w:r>
              <w:rPr/>
              <w:t xml:space="preserve">≥ 500 MΩ</w:t>
            </w:r>
          </w:p>
        </w:tc>
      </w:tr>
      <w:tr>
        <w:trPr/>
        <w:tc>
          <w:tcPr>
            <w:tcW w:w="2500" w:type="dxa"/>
            <w:shd w:val="clear" w:fill="D9D9D9"/>
          </w:tcPr>
          <w:p>
            <w:pPr/>
            <w:r>
              <w:rPr/>
              <w:t xml:space="preserve">Spannungsfestigkeit Kontakt - Kontakt</w:t>
            </w:r>
          </w:p>
        </w:tc>
        <w:tc>
          <w:tcPr>
            <w:tcW w:w="7500" w:type="dxa"/>
          </w:tcPr>
          <w:p>
            <w:pPr/>
            <w:r>
              <w:rPr/>
              <w:t xml:space="preserve">1000 V DC/AC peak</w:t>
            </w:r>
          </w:p>
        </w:tc>
      </w:tr>
      <w:tr>
        <w:trPr/>
        <w:tc>
          <w:tcPr>
            <w:tcW w:w="2500" w:type="dxa"/>
            <w:shd w:val="clear" w:fill="D9D9D9"/>
          </w:tcPr>
          <w:p>
            <w:pPr/>
            <w:r>
              <w:rPr/>
              <w:t xml:space="preserve">Spannungsfestigkeit Kontakt - Schirm</w:t>
            </w:r>
          </w:p>
        </w:tc>
        <w:tc>
          <w:tcPr>
            <w:tcW w:w="7500" w:type="dxa"/>
          </w:tcPr>
          <w:p>
            <w:pPr/>
            <w:r>
              <w:rPr/>
              <w:t xml:space="preserve">1500 V DC/AC peak</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Klasse EA</w:t>
            </w:r>
          </w:p>
        </w:tc>
        <w:tc>
          <w:tcPr>
            <w:tcW w:w="7500" w:type="dxa"/>
          </w:tcPr>
          <w:p>
            <w:pPr/>
            <w:r>
              <w:rPr/>
              <w:t xml:space="preserve">ISO/IEC 11801 AM1 und AMD2, Linklänge: größer 5 m</w:t>
            </w:r>
          </w:p>
        </w:tc>
      </w:tr>
      <w:tr>
        <w:trPr/>
        <w:tc>
          <w:tcPr>
            <w:tcW w:w="2500" w:type="dxa"/>
            <w:shd w:val="clear" w:fill="D9D9D9"/>
          </w:tcPr>
          <w:p>
            <w:pPr/>
            <w:r>
              <w:rPr/>
              <w:t xml:space="preserve">Cat.6A</w:t>
            </w:r>
          </w:p>
        </w:tc>
        <w:tc>
          <w:tcPr>
            <w:tcW w:w="7500" w:type="dxa"/>
          </w:tcPr>
          <w:p>
            <w:pPr/>
            <w:r>
              <w:rPr/>
              <w:t xml:space="preserve">ISO/IEC 11801 AMD2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TBL-UP50-2RJ45KS-RW</w:t>
            </w:r>
          </w:p>
        </w:tc>
        <w:tc>
          <w:tcPr>
            <w:tcW w:w="7500" w:type="dxa"/>
          </w:tcPr>
          <w:p>
            <w:pPr/>
            <w:r>
              <w:rPr/>
              <w:t xml:space="preserve">tBL® - Unterputzdose (designfähig) 45° für 2x Keystonemodule inkl. Zenrtralplatte 50x50mm, RAL9010</w:t>
            </w:r>
          </w:p>
        </w:tc>
      </w:tr>
      <w:tr>
        <w:trPr/>
        <w:tc>
          <w:tcPr>
            <w:tcW w:w="2500" w:type="dxa"/>
            <w:shd w:val="clear" w:fill="D9D9D9"/>
          </w:tcPr>
          <w:p>
            <w:pPr/>
            <w:r>
              <w:rPr/>
              <w:t xml:space="preserve">TBL-UPD2RJ45KS</w:t>
            </w:r>
          </w:p>
        </w:tc>
        <w:tc>
          <w:tcPr>
            <w:tcW w:w="7500" w:type="dxa"/>
          </w:tcPr>
          <w:p>
            <w:pPr/>
            <w:r>
              <w:rPr/>
              <w:t xml:space="preserve">tBL® - Unterputzdose (designfähig) 45° für 2x Keystonemodule</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TBL-RJ45KSW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2025-03-15T06:21:35+00:00</dcterms:created>
  <dcterms:modified xsi:type="dcterms:W3CDTF">2025-03-15T06:21:35+00:00</dcterms:modified>
</cp:coreProperties>
</file>

<file path=docProps/custom.xml><?xml version="1.0" encoding="utf-8"?>
<Properties xmlns="http://schemas.openxmlformats.org/officeDocument/2006/custom-properties" xmlns:vt="http://schemas.openxmlformats.org/officeDocument/2006/docPropsVTypes"/>
</file>