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12x LC Duplex Adapter, aqua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TBL-PF24-xxLCD-TK (siehe unten)</w:t>
            </w:r>
          </w:p>
        </w:tc>
      </w:tr>
      <w:tr>
        <w:trPr/>
        <w:tc>
          <w:tcPr>
            <w:tcW w:w="2500" w:type="dxa"/>
            <w:shd w:val="clear" w:fill="D9D9D9"/>
          </w:tcPr>
          <w:p>
            <w:pPr/>
            <w:r>
              <w:rPr/>
              <w:t xml:space="preserve">xx</w:t>
            </w:r>
          </w:p>
        </w:tc>
        <w:tc>
          <w:tcPr>
            <w:tcW w:w="7500" w:type="dxa"/>
          </w:tcPr>
          <w:p>
            <w:pPr/>
            <w:r>
              <w:rPr/>
              <w:t xml:space="preserve">(01 - 24) Anzahl Duplex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TBL-PF24-12LCD-TK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2024-04-19T07:10:43+00:00</dcterms:created>
  <dcterms:modified xsi:type="dcterms:W3CDTF">2024-04-19T07:10:43+00:00</dcterms:modified>
</cp:coreProperties>
</file>

<file path=docProps/custom.xml><?xml version="1.0" encoding="utf-8"?>
<Properties xmlns="http://schemas.openxmlformats.org/officeDocument/2006/custom-properties" xmlns:vt="http://schemas.openxmlformats.org/officeDocument/2006/docPropsVTypes"/>
</file>