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FO Breakout Module 2x MPO/MTP® with Pins/8x LC APC Duplex w. shutter 9/125µ OS2, LR4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Breakout - LWL Module MPO/MTP®
</w:t>
      </w:r>
    </w:p>
    <w:p>
      <w:pPr/>
      <w:r>
        <w:rPr/>
        <w:t xml:space="preserve">The tML® HD Breakout Module is intended for the installation in the tML® Rack Mount Enclosure 1U (for 8 x Modules). The tML® HD Breakout Module can be used only in combination with the tML®HD patch cord. A special cleaning tool is required to clean the adapters with shutter.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All system components (modules, trunk cables and patch cords) are co-ordinated for the reaching of the performance particularly. The module is marked with sequential serial number and article number. The modules are ROHS compliant.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Entry</w:t>
            </w:r>
          </w:p>
        </w:tc>
        <w:tc>
          <w:tcPr>
            <w:tcW w:w="7500" w:type="dxa"/>
          </w:tcPr>
          <w:p>
            <w:pPr/>
            <w:r>
              <w:rPr/>
              <w:t xml:space="preserve">2 x MPO/MTP®Male Adapter (green) front</w:t>
            </w:r>
          </w:p>
        </w:tc>
      </w:tr>
      <w:tr>
        <w:trPr/>
        <w:tc>
          <w:tcPr>
            <w:tcW w:w="2500" w:type="dxa"/>
            <w:shd w:val="clear" w:fill="D9D9D9"/>
          </w:tcPr>
          <w:p>
            <w:pPr/>
            <w:r>
              <w:rPr/>
              <w:t xml:space="preserve">Exit</w:t>
            </w:r>
          </w:p>
        </w:tc>
        <w:tc>
          <w:tcPr>
            <w:tcW w:w="7500" w:type="dxa"/>
          </w:tcPr>
          <w:p>
            <w:pPr/>
            <w:r>
              <w:rPr/>
              <w:t xml:space="preserve">8 x LC APC Duplex Adapter with self-closing shutter (green) front</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Box</w:t>
            </w:r>
          </w:p>
        </w:tc>
        <w:tc>
          <w:tcPr>
            <w:tcW w:w="7500" w:type="dxa"/>
          </w:tcPr>
          <w:p>
            <w:pPr/>
            <w:r>
              <w:rPr/>
              <w:t xml:space="preserve">Galvanized steel sheet</w:t>
            </w:r>
          </w:p>
        </w:tc>
      </w:t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110 x 108 x 20 mm</w:t>
            </w:r>
          </w:p>
        </w:tc>
      </w:tr>
    </w:tbl>
    <w:p>
      <w:pPr/>
      <w:r>
        <w:rPr/>
        <w:t xml:space="preserve"/>
      </w:r>
    </w:p>
    <w:p>
      <w:pPr/>
      <w:r>
        <w:rPr/>
        <w:t xml:space="preserve">***FO Adapters
</w:t>
      </w:r>
    </w:p>
    <w:p>
      <w:pPr/>
      <w:r>
        <w:rPr/>
        <w:t xml:space="preserve">When the connector is inserted into the adapter it compress the springs, opening the internal shutter. The internal shutter opens, and due to the special design of the shutter, it will not touch the ferrule end face. As the connector is removed from the adapter, the shutter spring automatically returns the internal shutter to the closed position.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Singlemode APC</w:t>
            </w:r>
          </w:p>
        </w:tc>
      </w:tr>
      <w:tr>
        <w:trPr/>
        <w:tc>
          <w:tcPr>
            <w:tcW w:w="2500" w:type="dxa"/>
            <w:shd w:val="clear" w:fill="D9D9D9"/>
          </w:tcPr>
          <w:p>
            <w:pPr/>
            <w:r>
              <w:rPr/>
              <w:t xml:space="preserve">Design</w:t>
            </w:r>
          </w:p>
        </w:tc>
        <w:tc>
          <w:tcPr>
            <w:tcW w:w="7500" w:type="dxa"/>
          </w:tcPr>
          <w:p>
            <w:pPr/>
            <w:r>
              <w:rPr/>
              <w:t xml:space="preserve">One-Piece 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Housing 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Self-closing shutter material</w:t>
            </w:r>
          </w:p>
        </w:tc>
        <w:tc>
          <w:tcPr>
            <w:tcW w:w="7500" w:type="dxa"/>
          </w:tcPr>
          <w:p>
            <w:pPr/>
            <w:r>
              <w:rPr/>
              <w:t xml:space="preserve">Metal</w:t>
            </w:r>
          </w:p>
        </w:tc>
      </w:tr>
      <w:tr>
        <w:trPr/>
        <w:tc>
          <w:tcPr>
            <w:tcW w:w="2500" w:type="dxa"/>
            <w:shd w:val="clear" w:fill="D9D9D9"/>
          </w:tcPr>
          <w:p>
            <w:pPr/>
            <w:r>
              <w:rPr/>
              <w:t xml:space="preserve">Self-closing shutter protection</w:t>
            </w:r>
          </w:p>
        </w:tc>
        <w:tc>
          <w:tcPr>
            <w:tcW w:w="7500" w:type="dxa"/>
          </w:tcPr>
          <w:p>
            <w:pPr/>
            <w:r>
              <w:rPr/>
              <w:t xml:space="preserve">Dust an laser light</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1310 / 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Key Orientation</w:t>
            </w:r>
          </w:p>
        </w:tc>
        <w:tc>
          <w:tcPr>
            <w:tcW w:w="7500" w:type="dxa"/>
          </w:tcPr>
          <w:p>
            <w:pPr/>
            <w:r>
              <w:rPr/>
              <w:t xml:space="preserve">Type A, Key up/down</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Manufacturer</w:t>
            </w:r>
          </w:p>
        </w:tc>
        <w:tc>
          <w:tcPr>
            <w:tcW w:w="7500" w:type="dxa"/>
          </w:tcPr>
          <w:p>
            <w:pPr/>
            <w:r>
              <w:rPr/>
              <w:t xml:space="preserve">US Conec</w:t>
            </w:r>
          </w:p>
        </w:tc>
      </w:tr>
    </w:tbl>
    <w:p>
      <w:pPr/>
      <w:r>
        <w:rPr/>
        <w:t xml:space="preserv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APC Male Push Pull Locking with Elite Pins (green)</w:t>
            </w:r>
          </w:p>
        </w:tc>
      </w:tr>
      <w:tr>
        <w:trPr/>
        <w:tc>
          <w:tcPr>
            <w:tcW w:w="2500" w:type="dxa"/>
            <w:shd w:val="clear" w:fill="D9D9D9"/>
          </w:tcPr>
          <w:p>
            <w:pPr/>
            <w:r>
              <w:rPr/>
              <w:t xml:space="preserve">Ferrule</w:t>
            </w:r>
          </w:p>
        </w:tc>
        <w:tc>
          <w:tcPr>
            <w:tcW w:w="7500" w:type="dxa"/>
          </w:tcPr>
          <w:p>
            <w:pPr/>
            <w:r>
              <w:rPr/>
              <w:t xml:space="preserve">12 Fiber SM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Temperature range</w:t>
            </w:r>
          </w:p>
        </w:tc>
        <w:tc>
          <w:tcPr>
            <w:tcW w:w="7500" w:type="dxa"/>
          </w:tcPr>
          <w:p>
            <w:pPr/>
            <w:r>
              <w:rPr/>
              <w:t xml:space="preserve">-40°C bis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MPO/MTP®APC</w:t>
            </w:r>
          </w:p>
        </w:tc>
        <w:tc>
          <w:tcPr/>
          <w:p>
            <w:pPr/>
            <w:r>
              <w:rPr/>
              <w:t xml:space="preserve">1310 / 1550 nm</w:t>
            </w:r>
          </w:p>
        </w:tc>
        <w:tc>
          <w:tcPr/>
          <w:p>
            <w:pPr/>
            <w:r>
              <w:rPr/>
              <w:t xml:space="preserve">≤ 0.10 dB</w:t>
            </w:r>
          </w:p>
        </w:tc>
        <w:tc>
          <w:tcPr/>
          <w:p>
            <w:pPr/>
            <w:r>
              <w:rPr/>
              <w:t xml:space="preserve">0.20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TML-M08LCADS/MPP09E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2024-04-25T15:32:02+00:00</dcterms:created>
  <dcterms:modified xsi:type="dcterms:W3CDTF">2024-04-25T15:32:02+00:00</dcterms:modified>
</cp:coreProperties>
</file>

<file path=docProps/custom.xml><?xml version="1.0" encoding="utf-8"?>
<Properties xmlns="http://schemas.openxmlformats.org/officeDocument/2006/custom-properties" xmlns:vt="http://schemas.openxmlformats.org/officeDocument/2006/docPropsVTypes"/>
</file>