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FO Breakout Module 2x MPO/MTP® with Pins/8x LC Duplex w. shutter 50/125µ OM4, SR4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Breakout - LWL Module MPO/MTP®
</w:t>
      </w:r>
    </w:p>
    <w:p>
      <w:pPr/>
      <w:r>
        <w:rPr/>
        <w:t xml:space="preserve">The tML® HD Breakout Module is intended for the installation in the tML® Rack Mount Enclosure 1U (for 8 x Modules). The tML® HD Breakout Module can be used only in combination with the tML®HD patch cord. A special cleaning tool is required to clean the adapters with shutter.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2 x MPO/MTP®Male Adapter (magenta) front</w:t>
            </w:r>
          </w:p>
        </w:tc>
      </w:tr>
      <w:tr>
        <w:trPr/>
        <w:tc>
          <w:tcPr>
            <w:tcW w:w="2500" w:type="dxa"/>
            <w:shd w:val="clear" w:fill="D9D9D9"/>
          </w:tcPr>
          <w:p>
            <w:pPr/>
            <w:r>
              <w:rPr/>
              <w:t xml:space="preserve">Exit</w:t>
            </w:r>
          </w:p>
        </w:tc>
        <w:tc>
          <w:tcPr>
            <w:tcW w:w="7500" w:type="dxa"/>
          </w:tcPr>
          <w:p>
            <w:pPr/>
            <w:r>
              <w:rPr/>
              <w:t xml:space="preserve">8 x LC Duplex Adapter with self-closing shutter (magenta)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110 x 108 x 20 mm</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/1300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Fiber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Draka OM4 50/125µm bend-insensitive multimode fiber (C32)</w:t>
            </w:r>
          </w:p>
        </w:tc>
      </w:tr>
    </w:tbl>
    <w:p>
      <w:pPr/>
      <w:r>
        <w:rPr/>
        <w:t xml:space="preserve"/>
      </w:r>
    </w:p>
    <w:tbl>
      <w:tblGrid>
        <w:gridCol w:w="2500" w:type="dxa"/>
        <w:gridCol w:w="7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 and Norms</w:t>
            </w:r>
          </w:p>
        </w:tc>
        <w:tc>
          <w:tcPr>
            <w:tcW w:w="7500" w:type="dxa"/>
          </w:tcPr>
          <w:p>
            <w:pPr/>
            <w:r>
              <w:rPr/>
              <w:t xml:space="preserve">IEC 60793-2-10: type A1a.3</w:t>
            </w:r>
          </w:p>
        </w:tc>
        <w:tc>
          <w:tcPr>
            <w:tcW w:w="7500" w:type="dxa"/>
          </w:tcPr>
          <w:p>
            <w:pPr/>
            <w:r>
              <w:rPr/>
              <w:t xml:space="preserve">ITU G.651.1</w:t>
            </w:r>
          </w:p>
        </w:tc>
        <w:tc>
          <w:tcPr>
            <w:tcW w:w="7500" w:type="dxa"/>
          </w:tcPr>
          <w:p>
            <w:pPr/>
            <w:r>
              <w:rPr/>
              <w:t xml:space="preserve">TIA/EIA-492 AAAD</w:t>
            </w:r>
          </w:p>
        </w:tc>
      </w:tr>
      <w:tr>
        <w:trPr/>
        <w:tc>
          <w:tcPr>
            <w:tcW w:w="2500" w:type="dxa"/>
            <w:shd w:val="clear" w:fill="D9D9D9"/>
          </w:tcPr>
          <w:p>
            <w:pPr/>
            <w:r>
              <w:rPr/>
              <w:t xml:space="preserve"> </w:t>
            </w:r>
          </w:p>
        </w:tc>
        <w:tc>
          <w:tcPr>
            <w:tcW w:w="7500" w:type="dxa"/>
          </w:tcPr>
          <w:p>
            <w:pPr/>
            <w:r>
              <w:rPr/>
              <w:t xml:space="preserve">ISO/IEC 11801 category OM4</w:t>
            </w:r>
          </w:p>
        </w:tc>
        <w:tc>
          <w:tcPr>
            <w:tcW w:w="7500" w:type="dxa"/>
          </w:tcPr>
          <w:p>
            <w:pPr/>
            <w:r>
              <w:rPr/>
              <w:t xml:space="preserve">EN 60793-2-10: type A1a.3</w:t>
            </w:r>
          </w:p>
        </w:tc>
        <w:tc>
          <w:tcPr>
            <w:tcW w:w="7500" w:type="dxa"/>
          </w:tcPr>
          <w:p>
            <w:pPr/>
            <w:r>
              <w:rPr/>
              <w:t xml:space="preserve">ANSI/TIA/EIA-568.C</w:t>
            </w:r>
          </w:p>
        </w:tc>
      </w:tr>
      <w:tr>
        <w:trPr/>
        <w:tc>
          <w:tcPr>
            <w:tcW w:w="2500" w:type="dxa"/>
            <w:shd w:val="clear" w:fill="D9D9D9"/>
          </w:tcPr>
          <w:p>
            <w:pPr/>
            <w:r>
              <w:rPr/>
              <w:t xml:space="preserve"> </w:t>
            </w:r>
          </w:p>
        </w:tc>
        <w:tc>
          <w:tcPr>
            <w:tcW w:w="7500" w:type="dxa"/>
          </w:tcPr>
          <w:p>
            <w:pPr/>
            <w:r>
              <w:rPr/>
              <w:t xml:space="preserve">ISO/IEC 24764</w:t>
            </w:r>
          </w:p>
        </w:tc>
        <w:tc>
          <w:tcPr>
            <w:tcW w:w="7500" w:type="dxa"/>
          </w:tcPr>
          <w:p>
            <w:pPr/>
            <w:r>
              <w:rPr/>
              <w:t xml:space="preserve">EN 50173-1 category OM4</w:t>
            </w:r>
          </w:p>
        </w:tc>
        <w:tc>
          <w:tcPr>
            <w:tcW w:w="7500" w:type="dxa"/>
          </w:tcPr>
          <w:p>
            <w:pPr/>
            <w:r>
              <w:rPr/>
              <w:t xml:space="preserve">IEEE 802.3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Maximum attenuation value of cable at 850 nm</w:t>
            </w:r>
          </w:p>
        </w:tc>
        <w:tc>
          <w:tcPr>
            <w:tcW w:w="7500" w:type="dxa"/>
          </w:tcPr>
          <w:p>
            <w:pPr/>
            <w:r>
              <w:rPr/>
              <w:t xml:space="preserve">IEC 60793-1-40</w:t>
            </w:r>
          </w:p>
        </w:tc>
        <w:tc>
          <w:tcPr>
            <w:tcW w:w="7500" w:type="dxa"/>
          </w:tcPr>
          <w:p>
            <w:pPr/>
            <w:r>
              <w:rPr/>
              <w:t xml:space="preserve">≤ 3.0 dB/km</w:t>
            </w:r>
          </w:p>
        </w:tc>
      </w:tr>
      <w:tr>
        <w:trPr/>
        <w:tc>
          <w:tcPr>
            <w:tcW w:w="2500" w:type="dxa"/>
            <w:shd w:val="clear" w:fill="D9D9D9"/>
          </w:tcPr>
          <w:p>
            <w:pPr/>
            <w:r>
              <w:rPr/>
              <w:t xml:space="preserve">Maximum attenuation value of cable at 1300 nm</w:t>
            </w:r>
          </w:p>
        </w:tc>
        <w:tc>
          <w:tcPr>
            <w:tcW w:w="7500" w:type="dxa"/>
          </w:tcPr>
          <w:p>
            <w:pPr/>
            <w:r>
              <w:rPr/>
              <w:t xml:space="preserve">IEC 60793-1-40</w:t>
            </w:r>
          </w:p>
        </w:tc>
        <w:tc>
          <w:tcPr>
            <w:tcW w:w="7500" w:type="dxa"/>
          </w:tcPr>
          <w:p>
            <w:pPr/>
            <w:r>
              <w:rPr/>
              <w:t xml:space="preserve">≤ 1.0 dB/km</w:t>
            </w:r>
          </w:p>
        </w:tc>
      </w:tr>
      <w:tr>
        <w:trPr/>
        <w:tc>
          <w:tcPr>
            <w:tcW w:w="2500" w:type="dxa"/>
            <w:shd w:val="clear" w:fill="D9D9D9"/>
          </w:tcPr>
          <w:p>
            <w:pPr/>
            <w:r>
              <w:rPr/>
              <w:t xml:space="preserve">Attenuation limit according to IEC 60793-2-10, 850 nm</w:t>
            </w:r>
          </w:p>
        </w:tc>
        <w:tc>
          <w:tcPr>
            <w:tcW w:w="7500" w:type="dxa"/>
          </w:tcPr>
          <w:p>
            <w:pPr/>
            <w:r>
              <w:rPr/>
              <w:t xml:space="preserve">IEC 60793-1-40</w:t>
            </w:r>
          </w:p>
        </w:tc>
        <w:tc>
          <w:tcPr>
            <w:tcW w:w="7500" w:type="dxa"/>
          </w:tcPr>
          <w:p>
            <w:pPr/>
            <w:r>
              <w:rPr/>
              <w:t xml:space="preserve">≤ 2.5 dB/km</w:t>
            </w:r>
          </w:p>
        </w:tc>
      </w:tr>
      <w:tr>
        <w:trPr/>
        <w:tc>
          <w:tcPr>
            <w:tcW w:w="2500" w:type="dxa"/>
            <w:shd w:val="clear" w:fill="D9D9D9"/>
          </w:tcPr>
          <w:p>
            <w:pPr/>
            <w:r>
              <w:rPr/>
              <w:t xml:space="preserve">Attenuation limit according to IEC 60793-2-10, 1300 nm</w:t>
            </w:r>
          </w:p>
        </w:tc>
        <w:tc>
          <w:tcPr>
            <w:tcW w:w="7500" w:type="dxa"/>
          </w:tcPr>
          <w:p>
            <w:pPr/>
            <w:r>
              <w:rPr/>
              <w:t xml:space="preserve">IEC 60793-1-40</w:t>
            </w:r>
          </w:p>
        </w:tc>
        <w:tc>
          <w:tcPr>
            <w:tcW w:w="7500" w:type="dxa"/>
          </w:tcPr>
          <w:p>
            <w:pPr/>
            <w:r>
              <w:rPr/>
              <w:t xml:space="preserve">≤ 0.8 dB/km</w:t>
            </w:r>
          </w:p>
        </w:tc>
      </w:tr>
      <w:tr>
        <w:trPr/>
        <w:tc>
          <w:tcPr>
            <w:tcW w:w="2500" w:type="dxa"/>
            <w:shd w:val="clear" w:fill="D9D9D9"/>
          </w:tcPr>
          <w:p>
            <w:pPr/>
            <w:r>
              <w:rPr/>
              <w:t xml:space="preserve">Inhomogeneity of OTDR trace for any two 1000 metre fiber lengths</w:t>
            </w:r>
          </w:p>
        </w:tc>
        <w:tc>
          <w:tcPr>
            <w:tcW w:w="7500" w:type="dxa"/>
          </w:tcPr>
          <w:p>
            <w:pPr/>
            <w:r>
              <w:rPr/>
              <w:t xml:space="preserve">IEC 60793-1-40</w:t>
            </w:r>
          </w:p>
        </w:tc>
        <w:tc>
          <w:tcPr>
            <w:tcW w:w="7500" w:type="dxa"/>
          </w:tcPr>
          <w:p>
            <w:pPr/>
            <w:r>
              <w:rPr/>
              <w:t xml:space="preserve">Max. 0.1 dB/km</w:t>
            </w:r>
          </w:p>
        </w:tc>
      </w:tr>
      <w:tr>
        <w:trPr/>
        <w:tc>
          <w:tcPr>
            <w:tcW w:w="2500" w:type="dxa"/>
            <w:shd w:val="clear" w:fill="D9D9D9"/>
          </w:tcPr>
          <w:p>
            <w:pPr/>
            <w:r>
              <w:rPr/>
              <w:t xml:space="preserve">Fiber bending loss R=7.5 mm 850/1300 nm</w:t>
            </w:r>
          </w:p>
        </w:tc>
        <w:tc>
          <w:tcPr>
            <w:tcW w:w="7500" w:type="dxa"/>
          </w:tcPr>
          <w:p>
            <w:pPr/>
            <w:r>
              <w:rPr/>
              <w:t xml:space="preserve">IEC 60793-1-40</w:t>
            </w:r>
          </w:p>
        </w:tc>
        <w:tc>
          <w:tcPr>
            <w:tcW w:w="7500" w:type="dxa"/>
          </w:tcPr>
          <w:p>
            <w:pPr/>
            <w:r>
              <w:rPr/>
              <w:t xml:space="preserve">≤ 0.2 dB / ≤ 0.5 dB</w:t>
            </w:r>
          </w:p>
        </w:tc>
      </w:tr>
      <w:tr>
        <w:trPr/>
        <w:tc>
          <w:tcPr>
            <w:tcW w:w="2500" w:type="dxa"/>
            <w:shd w:val="clear" w:fill="D9D9D9"/>
          </w:tcPr>
          <w:p>
            <w:pPr/>
            <w:r>
              <w:rPr/>
              <w:t xml:space="preserve">Fiber bending loss R=15 mm 850/1300 nm</w:t>
            </w:r>
          </w:p>
        </w:tc>
        <w:tc>
          <w:tcPr>
            <w:tcW w:w="7500" w:type="dxa"/>
          </w:tcPr>
          <w:p>
            <w:pPr/>
            <w:r>
              <w:rPr/>
              <w:t xml:space="preserve">IEC 60793-1-40</w:t>
            </w:r>
          </w:p>
        </w:tc>
        <w:tc>
          <w:tcPr>
            <w:tcW w:w="7500" w:type="dxa"/>
          </w:tcPr>
          <w:p>
            <w:pPr/>
            <w:r>
              <w:rPr/>
              <w:t xml:space="preserve">≤ 0.1 dB / ≤ 0.3 dB</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Overfilled (OFL) modal bandwidth at 850 nm</w:t>
            </w:r>
          </w:p>
        </w:tc>
        <w:tc>
          <w:tcPr>
            <w:tcW w:w="7500" w:type="dxa"/>
          </w:tcPr>
          <w:p>
            <w:pPr/>
            <w:r>
              <w:rPr/>
              <w:t xml:space="preserve">IEC 60793-1-41</w:t>
            </w:r>
          </w:p>
        </w:tc>
        <w:tc>
          <w:tcPr>
            <w:tcW w:w="7500" w:type="dxa"/>
          </w:tcPr>
          <w:p>
            <w:pPr/>
            <w:r>
              <w:rPr/>
              <w:t xml:space="preserve">≥ 3500 MHz*km</w:t>
            </w:r>
          </w:p>
        </w:tc>
      </w:tr>
      <w:tr>
        <w:trPr/>
        <w:tc>
          <w:tcPr>
            <w:tcW w:w="2500" w:type="dxa"/>
            <w:shd w:val="clear" w:fill="D9D9D9"/>
          </w:tcPr>
          <w:p>
            <w:pPr/>
            <w:r>
              <w:rPr/>
              <w:t xml:space="preserve">Overfilled (OFL) modal bandwidth at 1300 nm</w:t>
            </w:r>
          </w:p>
        </w:tc>
        <w:tc>
          <w:tcPr>
            <w:tcW w:w="7500" w:type="dxa"/>
          </w:tcPr>
          <w:p>
            <w:pPr/>
            <w:r>
              <w:rPr/>
              <w:t xml:space="preserve">IEC 60793-1-41</w:t>
            </w:r>
          </w:p>
        </w:tc>
        <w:tc>
          <w:tcPr>
            <w:tcW w:w="7500" w:type="dxa"/>
          </w:tcPr>
          <w:p>
            <w:pPr/>
            <w:r>
              <w:rPr/>
              <w:t xml:space="preserve">≥ 500 MHz*km</w:t>
            </w:r>
          </w:p>
        </w:tc>
      </w:tr>
      <w:tr>
        <w:trPr/>
        <w:tc>
          <w:tcPr>
            <w:tcW w:w="2500" w:type="dxa"/>
            <w:shd w:val="clear" w:fill="D9D9D9"/>
          </w:tcPr>
          <w:p>
            <w:pPr/>
            <w:r>
              <w:rPr/>
              <w:t xml:space="preserve">Effective Modal Bandwidth (EMB) at 850 nm</w:t>
            </w:r>
          </w:p>
        </w:tc>
        <w:tc>
          <w:tcPr>
            <w:tcW w:w="7500" w:type="dxa"/>
          </w:tcPr>
          <w:p>
            <w:pPr/>
            <w:r>
              <w:rPr/>
              <w:t xml:space="preserve">IEC 60793-1-49</w:t>
            </w:r>
          </w:p>
        </w:tc>
        <w:tc>
          <w:tcPr>
            <w:tcW w:w="7500" w:type="dxa"/>
          </w:tcPr>
          <w:p>
            <w:pPr/>
            <w:r>
              <w:rPr/>
              <w:t xml:space="preserve">≥ 4700 MHz*km</w:t>
            </w:r>
          </w:p>
        </w:tc>
      </w:tr>
      <w:tr>
        <w:trPr/>
        <w:tc>
          <w:tcPr>
            <w:tcW w:w="2500" w:type="dxa"/>
            <w:shd w:val="clear" w:fill="D9D9D9"/>
          </w:tcPr>
          <w:p>
            <w:pPr/>
            <w:r>
              <w:rPr/>
              <w:t xml:space="preserve">Group index of refraction at 850 nm</w:t>
            </w:r>
          </w:p>
        </w:tc>
        <w:tc>
          <w:tcPr>
            <w:tcW w:w="7500" w:type="dxa"/>
          </w:tcPr>
          <w:p>
            <w:pPr/>
            <w:r>
              <w:rPr/>
              <w:t xml:space="preserve">IEC 60793-1-22</w:t>
            </w:r>
          </w:p>
        </w:tc>
        <w:tc>
          <w:tcPr>
            <w:tcW w:w="7500" w:type="dxa"/>
          </w:tcPr>
          <w:p>
            <w:pPr/>
            <w:r>
              <w:rPr/>
              <w:t xml:space="preserve">1.482</w:t>
            </w:r>
          </w:p>
        </w:tc>
      </w:tr>
      <w:tr>
        <w:trPr/>
        <w:tc>
          <w:tcPr>
            <w:tcW w:w="2500" w:type="dxa"/>
            <w:shd w:val="clear" w:fill="D9D9D9"/>
          </w:tcPr>
          <w:p>
            <w:pPr/>
            <w:r>
              <w:rPr/>
              <w:t xml:space="preserve">Group index of refraction at 1300 nm</w:t>
            </w:r>
          </w:p>
        </w:tc>
        <w:tc>
          <w:tcPr>
            <w:tcW w:w="7500" w:type="dxa"/>
          </w:tcPr>
          <w:p>
            <w:pPr/>
            <w:r>
              <w:rPr/>
              <w:t xml:space="preserve">IEC 60793-1-22</w:t>
            </w:r>
          </w:p>
        </w:tc>
        <w:tc>
          <w:tcPr>
            <w:tcW w:w="7500" w:type="dxa"/>
          </w:tcPr>
          <w:p>
            <w:pPr/>
            <w:r>
              <w:rPr/>
              <w:t xml:space="preserve">1.477</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Core diameter</w:t>
            </w:r>
          </w:p>
        </w:tc>
        <w:tc>
          <w:tcPr>
            <w:tcW w:w="7500" w:type="dxa"/>
          </w:tcPr>
          <w:p>
            <w:pPr/>
            <w:r>
              <w:rPr/>
              <w:t xml:space="preserve">IEC/EN 60793-1-20</w:t>
            </w:r>
          </w:p>
        </w:tc>
        <w:tc>
          <w:tcPr>
            <w:tcW w:w="7500" w:type="dxa"/>
          </w:tcPr>
          <w:p>
            <w:pPr/>
            <w:r>
              <w:rPr/>
              <w:t xml:space="preserve">50 ± 2 µm</w:t>
            </w:r>
          </w:p>
        </w:tc>
      </w:tr>
      <w:tr>
        <w:trPr/>
        <w:tc>
          <w:tcPr>
            <w:tcW w:w="2500" w:type="dxa"/>
            <w:shd w:val="clear" w:fill="D9D9D9"/>
          </w:tcPr>
          <w:p>
            <w:pPr/>
            <w:r>
              <w:rPr/>
              <w:t xml:space="preserve">Cladding diameter</w:t>
            </w:r>
          </w:p>
        </w:tc>
        <w:tc>
          <w:tcPr>
            <w:tcW w:w="7500" w:type="dxa"/>
          </w:tcPr>
          <w:p>
            <w:pPr/>
            <w:r>
              <w:rPr/>
              <w:t xml:space="preserve">IEC/EN 60793-1-20</w:t>
            </w:r>
          </w:p>
        </w:tc>
        <w:tc>
          <w:tcPr>
            <w:tcW w:w="7500" w:type="dxa"/>
          </w:tcPr>
          <w:p>
            <w:pPr/>
            <w:r>
              <w:rPr/>
              <w:t xml:space="preserve">125.0 ± 1.0 µm</w:t>
            </w:r>
          </w:p>
        </w:tc>
      </w:tr>
      <w:tr>
        <w:trPr/>
        <w:tc>
          <w:tcPr>
            <w:tcW w:w="2500" w:type="dxa"/>
            <w:shd w:val="clear" w:fill="D9D9D9"/>
          </w:tcPr>
          <w:p>
            <w:pPr/>
            <w:r>
              <w:rPr/>
              <w:t xml:space="preserve">Cladding non-circularity</w:t>
            </w:r>
          </w:p>
        </w:tc>
        <w:tc>
          <w:tcPr>
            <w:tcW w:w="7500" w:type="dxa"/>
          </w:tcPr>
          <w:p>
            <w:pPr/>
            <w:r>
              <w:rPr/>
              <w:t xml:space="preserve">IEC/EN 60793-1-20</w:t>
            </w:r>
          </w:p>
        </w:tc>
        <w:tc>
          <w:tcPr>
            <w:tcW w:w="7500" w:type="dxa"/>
          </w:tcPr>
          <w:p>
            <w:pPr/>
            <w:r>
              <w:rPr/>
              <w:t xml:space="preserve">≤ 0.7%</w:t>
            </w:r>
          </w:p>
        </w:tc>
      </w:tr>
      <w:tr>
        <w:trPr/>
        <w:tc>
          <w:tcPr>
            <w:tcW w:w="2500" w:type="dxa"/>
            <w:shd w:val="clear" w:fill="D9D9D9"/>
          </w:tcPr>
          <w:p>
            <w:pPr/>
            <w:r>
              <w:rPr/>
              <w:t xml:space="preserve">Core non-circularity</w:t>
            </w:r>
          </w:p>
        </w:tc>
        <w:tc>
          <w:tcPr>
            <w:tcW w:w="7500" w:type="dxa"/>
          </w:tcPr>
          <w:p>
            <w:pPr/>
            <w:r>
              <w:rPr/>
              <w:t xml:space="preserve">IEC/EN 60793-1-20</w:t>
            </w:r>
          </w:p>
        </w:tc>
        <w:tc>
          <w:tcPr>
            <w:tcW w:w="7500" w:type="dxa"/>
          </w:tcPr>
          <w:p>
            <w:pPr/>
            <w:r>
              <w:rPr/>
              <w:t xml:space="preserve">≤ 5%</w:t>
            </w:r>
          </w:p>
        </w:tc>
      </w:tr>
      <w:tr>
        <w:trPr/>
        <w:tc>
          <w:tcPr>
            <w:tcW w:w="2500" w:type="dxa"/>
            <w:shd w:val="clear" w:fill="D9D9D9"/>
          </w:tcPr>
          <w:p>
            <w:pPr/>
            <w:r>
              <w:rPr/>
              <w:t xml:space="preserve">Core -cladding concentricity error</w:t>
            </w:r>
          </w:p>
        </w:tc>
        <w:tc>
          <w:tcPr>
            <w:tcW w:w="7500" w:type="dxa"/>
          </w:tcPr>
          <w:p>
            <w:pPr/>
            <w:r>
              <w:rPr/>
              <w:t xml:space="preserve">IEC/EN 60793-1-20</w:t>
            </w:r>
          </w:p>
        </w:tc>
        <w:tc>
          <w:tcPr>
            <w:tcW w:w="7500" w:type="dxa"/>
          </w:tcPr>
          <w:p>
            <w:pPr/>
            <w:r>
              <w:rPr/>
              <w:t xml:space="preserve">≤ 1 µm</w:t>
            </w:r>
          </w:p>
        </w:tc>
      </w:tr>
      <w:tr>
        <w:trPr/>
        <w:tc>
          <w:tcPr>
            <w:tcW w:w="2500" w:type="dxa"/>
            <w:shd w:val="clear" w:fill="D9D9D9"/>
          </w:tcPr>
          <w:p>
            <w:pPr/>
            <w:r>
              <w:rPr/>
              <w:t xml:space="preserve">Primary coating diameter - uncoloured</w:t>
            </w:r>
          </w:p>
        </w:tc>
        <w:tc>
          <w:tcPr>
            <w:tcW w:w="7500" w:type="dxa"/>
          </w:tcPr>
          <w:p>
            <w:pPr/>
            <w:r>
              <w:rPr/>
              <w:t xml:space="preserve">IEC/EN 60793-1-21</w:t>
            </w:r>
          </w:p>
        </w:tc>
        <w:tc>
          <w:tcPr>
            <w:tcW w:w="7500" w:type="dxa"/>
          </w:tcPr>
          <w:p>
            <w:pPr/>
            <w:r>
              <w:rPr/>
              <w:t xml:space="preserve">242 ± 5 µm</w:t>
            </w:r>
          </w:p>
        </w:tc>
      </w:tr>
      <w:tr>
        <w:trPr/>
        <w:tc>
          <w:tcPr>
            <w:tcW w:w="2500" w:type="dxa"/>
            <w:shd w:val="clear" w:fill="D9D9D9"/>
          </w:tcPr>
          <w:p>
            <w:pPr/>
            <w:r>
              <w:rPr/>
              <w:t xml:space="preserve">Primary coating diameter - coloured</w:t>
            </w:r>
          </w:p>
        </w:tc>
        <w:tc>
          <w:tcPr>
            <w:tcW w:w="7500" w:type="dxa"/>
          </w:tcPr>
          <w:p>
            <w:pPr/>
            <w:r>
              <w:rPr/>
              <w:t xml:space="preserve">IEC/EN 60793-1-21</w:t>
            </w:r>
          </w:p>
        </w:tc>
        <w:tc>
          <w:tcPr>
            <w:tcW w:w="7500" w:type="dxa"/>
          </w:tcPr>
          <w:p>
            <w:pPr/>
            <w:r>
              <w:rPr/>
              <w:t xml:space="preserve">250 ± 15 µm</w:t>
            </w:r>
          </w:p>
        </w:tc>
      </w:tr>
      <w:tr>
        <w:trPr/>
        <w:tc>
          <w:tcPr>
            <w:tcW w:w="2500" w:type="dxa"/>
            <w:shd w:val="clear" w:fill="D9D9D9"/>
          </w:tcPr>
          <w:p>
            <w:pPr/>
            <w:r>
              <w:rPr/>
              <w:t xml:space="preserve">Primary coating non-circularity</w:t>
            </w:r>
          </w:p>
        </w:tc>
        <w:tc>
          <w:tcPr>
            <w:tcW w:w="7500" w:type="dxa"/>
          </w:tcPr>
          <w:p>
            <w:pPr/>
            <w:r>
              <w:rPr/>
              <w:t xml:space="preserve">IEC/EN 60793-1-21</w:t>
            </w:r>
          </w:p>
        </w:tc>
        <w:tc>
          <w:tcPr>
            <w:tcW w:w="7500" w:type="dxa"/>
          </w:tcPr>
          <w:p>
            <w:pPr/>
            <w:r>
              <w:rPr/>
              <w:t xml:space="preserve">≤ 5%</w:t>
            </w:r>
          </w:p>
        </w:tc>
      </w:tr>
      <w:tr>
        <w:trPr/>
        <w:tc>
          <w:tcPr>
            <w:tcW w:w="2500" w:type="dxa"/>
            <w:shd w:val="clear" w:fill="D9D9D9"/>
          </w:tcPr>
          <w:p>
            <w:pPr/>
            <w:r>
              <w:rPr/>
              <w:t xml:space="preserve">Primary coating-cladding concentricity error</w:t>
            </w:r>
          </w:p>
        </w:tc>
        <w:tc>
          <w:tcPr>
            <w:tcW w:w="7500" w:type="dxa"/>
          </w:tcPr>
          <w:p>
            <w:pPr/>
            <w:r>
              <w:rPr/>
              <w:t xml:space="preserve">IEC/EN 60793-1-21</w:t>
            </w:r>
          </w:p>
        </w:tc>
        <w:tc>
          <w:tcPr>
            <w:tcW w:w="7500" w:type="dxa"/>
          </w:tcPr>
          <w:p>
            <w:pPr/>
            <w:r>
              <w:rPr/>
              <w:t xml:space="preserve">≤ 6 µm</w:t>
            </w:r>
          </w:p>
        </w:tc>
      </w:tr>
      <w:tr>
        <w:trPr/>
        <w:tc>
          <w:tcPr>
            <w:tcW w:w="2500" w:type="dxa"/>
            <w:shd w:val="clear" w:fill="D9D9D9"/>
          </w:tcPr>
          <w:p>
            <w:pPr/>
            <w:r>
              <w:rPr/>
              <w:t xml:space="preserve">Proof stress level</w:t>
            </w:r>
          </w:p>
        </w:tc>
        <w:tc>
          <w:tcPr>
            <w:tcW w:w="7500" w:type="dxa"/>
          </w:tcPr>
          <w:p>
            <w:pPr/>
            <w:r>
              <w:rPr/>
              <w:t xml:space="preserve">IEC/EN 60793-1-30</w:t>
            </w:r>
          </w:p>
        </w:tc>
        <w:tc>
          <w:tcPr>
            <w:tcW w:w="7500" w:type="dxa"/>
          </w:tcPr>
          <w:p>
            <w:pPr/>
            <w:r>
              <w:rPr/>
              <w:t xml:space="preserve">≥ 0.7 (≈ 1 %) GPa</w:t>
            </w:r>
          </w:p>
        </w:tc>
      </w:tr>
      <w:tr>
        <w:trPr/>
        <w:tc>
          <w:tcPr>
            <w:tcW w:w="2500" w:type="dxa"/>
            <w:shd w:val="clear" w:fill="D9D9D9"/>
          </w:tcPr>
          <w:p>
            <w:pPr/>
            <w:r>
              <w:rPr/>
              <w:t xml:space="preserve">Typical average strip force</w:t>
            </w:r>
          </w:p>
        </w:tc>
        <w:tc>
          <w:tcPr>
            <w:tcW w:w="7500" w:type="dxa"/>
          </w:tcPr>
          <w:p>
            <w:pPr/>
            <w:r>
              <w:rPr/>
              <w:t xml:space="preserve">IEC/EN 60793-1-32</w:t>
            </w:r>
          </w:p>
        </w:tc>
        <w:tc>
          <w:tcPr>
            <w:tcW w:w="7500" w:type="dxa"/>
          </w:tcPr>
          <w:p>
            <w:pPr/>
            <w:r>
              <w:rPr/>
              <w:t xml:space="preserve">1.7 N</w:t>
            </w:r>
          </w:p>
        </w:tc>
      </w:tr>
      <w:tr>
        <w:trPr/>
        <w:tc>
          <w:tcPr>
            <w:tcW w:w="2500" w:type="dxa"/>
            <w:shd w:val="clear" w:fill="D9D9D9"/>
          </w:tcPr>
          <w:p>
            <w:pPr/>
            <w:r>
              <w:rPr/>
              <w:t xml:space="preserve">Strip force (peak)</w:t>
            </w:r>
          </w:p>
        </w:tc>
        <w:tc>
          <w:tcPr>
            <w:tcW w:w="7500" w:type="dxa"/>
          </w:tcPr>
          <w:p>
            <w:pPr/>
            <w:r>
              <w:rPr/>
              <w:t xml:space="preserve">IEC/EN 60793-1-32</w:t>
            </w:r>
          </w:p>
        </w:tc>
        <w:tc>
          <w:tcPr>
            <w:tcW w:w="7500" w:type="dxa"/>
          </w:tcPr>
          <w:p>
            <w:pPr/>
            <w:r>
              <w:rPr/>
              <w:t xml:space="preserve">1.3 N ≤ Fpeak.strip ≤ 8.9 N</w:t>
            </w:r>
          </w:p>
        </w:tc>
      </w:tr>
      <w:tr>
        <w:trPr/>
        <w:tc>
          <w:tcPr>
            <w:tcW w:w="2500" w:type="dxa"/>
            <w:shd w:val="clear" w:fill="D9D9D9"/>
          </w:tcPr>
          <w:p>
            <w:pPr/>
            <w:r>
              <w:rPr/>
              <w:t xml:space="preserve">Numerical aperture</w:t>
            </w:r>
          </w:p>
        </w:tc>
        <w:tc>
          <w:tcPr>
            <w:tcW w:w="7500" w:type="dxa"/>
          </w:tcPr>
          <w:p>
            <w:pPr/>
            <w:r>
              <w:rPr/>
              <w:t xml:space="preserve">IEC/EN 60793-1-43</w:t>
            </w:r>
          </w:p>
        </w:tc>
        <w:tc>
          <w:tcPr>
            <w:tcW w:w="7500" w:type="dxa"/>
          </w:tcPr>
          <w:p>
            <w:pPr/>
            <w:r>
              <w:rPr/>
              <w:t xml:space="preserve">0.200 ± 0.015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TML-M08LCDS/MPP50G4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2024-04-24T22:11:59+00:00</dcterms:created>
  <dcterms:modified xsi:type="dcterms:W3CDTF">2024-04-24T22:11:59+00:00</dcterms:modified>
</cp:coreProperties>
</file>

<file path=docProps/custom.xml><?xml version="1.0" encoding="utf-8"?>
<Properties xmlns="http://schemas.openxmlformats.org/officeDocument/2006/custom-properties" xmlns:vt="http://schemas.openxmlformats.org/officeDocument/2006/docPropsVTypes"/>
</file>